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EF59EA" w:rsidRPr="00EF59EA" w:rsidTr="00F629FD">
        <w:tc>
          <w:tcPr>
            <w:tcW w:w="9209" w:type="dxa"/>
          </w:tcPr>
          <w:p w:rsidR="00E34F17" w:rsidRPr="00EF59EA" w:rsidRDefault="006F68EC" w:rsidP="00CA4238">
            <w:pPr>
              <w:spacing w:before="120" w:after="120"/>
              <w:jc w:val="both"/>
              <w:rPr>
                <w:rFonts w:cs="Times New Roman"/>
                <w:b/>
                <w:color w:val="000000" w:themeColor="text1"/>
                <w:szCs w:val="28"/>
              </w:rPr>
            </w:pPr>
            <w:r>
              <w:rPr>
                <w:rFonts w:cs="Times New Roman"/>
                <w:b/>
                <w:color w:val="000000" w:themeColor="text1"/>
                <w:szCs w:val="28"/>
              </w:rPr>
              <w:t xml:space="preserve">        </w:t>
            </w:r>
            <w:r w:rsidR="00E34F17" w:rsidRPr="00EF59EA">
              <w:rPr>
                <w:rFonts w:cs="Times New Roman"/>
                <w:b/>
                <w:color w:val="000000" w:themeColor="text1"/>
                <w:szCs w:val="28"/>
              </w:rPr>
              <w:t>Tên TTHC:</w:t>
            </w:r>
            <w:r w:rsidR="00E34F17" w:rsidRPr="00EF59EA">
              <w:rPr>
                <w:rFonts w:cs="Times New Roman"/>
                <w:color w:val="000000" w:themeColor="text1"/>
                <w:szCs w:val="28"/>
              </w:rPr>
              <w:t xml:space="preserve"> </w:t>
            </w:r>
            <w:r w:rsidR="00585AC7" w:rsidRPr="00A86785">
              <w:rPr>
                <w:rFonts w:cs="Times New Roman"/>
                <w:color w:val="000000" w:themeColor="text1"/>
                <w:szCs w:val="28"/>
              </w:rPr>
              <w:t>Bổ nhiệm và cấp thẻ giám định viên tư pháp xây dựng ở địa phương</w:t>
            </w:r>
          </w:p>
        </w:tc>
      </w:tr>
      <w:tr w:rsidR="00EF59EA" w:rsidRPr="00EF59EA" w:rsidTr="00F629FD">
        <w:tc>
          <w:tcPr>
            <w:tcW w:w="9209" w:type="dxa"/>
          </w:tcPr>
          <w:p w:rsidR="00E34F17" w:rsidRPr="00EF59EA" w:rsidRDefault="006F68EC" w:rsidP="00F82337">
            <w:pPr>
              <w:spacing w:before="120" w:after="120"/>
              <w:rPr>
                <w:rFonts w:cs="Times New Roman"/>
                <w:b/>
                <w:color w:val="000000" w:themeColor="text1"/>
                <w:szCs w:val="28"/>
              </w:rPr>
            </w:pPr>
            <w:r>
              <w:rPr>
                <w:rFonts w:cs="Times New Roman"/>
                <w:b/>
                <w:color w:val="000000" w:themeColor="text1"/>
                <w:szCs w:val="28"/>
              </w:rPr>
              <w:t xml:space="preserve">        </w:t>
            </w:r>
            <w:r w:rsidR="00E34F17" w:rsidRPr="00EF59EA">
              <w:rPr>
                <w:rFonts w:cs="Times New Roman"/>
                <w:b/>
                <w:color w:val="000000" w:themeColor="text1"/>
                <w:szCs w:val="28"/>
              </w:rPr>
              <w:t xml:space="preserve">Mã TTHC : </w:t>
            </w:r>
            <w:r w:rsidR="00585AC7" w:rsidRPr="00585AC7">
              <w:rPr>
                <w:rFonts w:cs="Times New Roman"/>
                <w:color w:val="000000" w:themeColor="text1"/>
                <w:szCs w:val="28"/>
              </w:rPr>
              <w:t>2.001116.000.00.00.H35</w:t>
            </w:r>
          </w:p>
        </w:tc>
      </w:tr>
      <w:tr w:rsidR="00EF59EA" w:rsidRPr="00EF59EA" w:rsidTr="00F629FD">
        <w:tc>
          <w:tcPr>
            <w:tcW w:w="9209" w:type="dxa"/>
          </w:tcPr>
          <w:p w:rsidR="00E34F17" w:rsidRPr="00EF59EA" w:rsidRDefault="00E34F17" w:rsidP="00EF59EA">
            <w:pPr>
              <w:spacing w:before="120" w:after="120"/>
              <w:ind w:firstLine="567"/>
              <w:rPr>
                <w:rFonts w:cs="Times New Roman"/>
                <w:b/>
                <w:color w:val="000000" w:themeColor="text1"/>
                <w:szCs w:val="28"/>
              </w:rPr>
            </w:pPr>
            <w:r w:rsidRPr="00EF59EA">
              <w:rPr>
                <w:rFonts w:cs="Times New Roman"/>
                <w:b/>
                <w:color w:val="000000" w:themeColor="text1"/>
                <w:szCs w:val="28"/>
              </w:rPr>
              <w:t>1. Trình tự thực hiện</w:t>
            </w:r>
          </w:p>
          <w:p w:rsidR="00585AC7" w:rsidRPr="00585AC7" w:rsidRDefault="00585AC7" w:rsidP="00585AC7">
            <w:pPr>
              <w:spacing w:before="120" w:after="120"/>
              <w:ind w:firstLine="567"/>
              <w:jc w:val="both"/>
              <w:rPr>
                <w:rFonts w:cs="Times New Roman"/>
                <w:color w:val="000000" w:themeColor="text1"/>
                <w:szCs w:val="28"/>
              </w:rPr>
            </w:pPr>
            <w:r w:rsidRPr="00585AC7">
              <w:rPr>
                <w:rFonts w:cs="Times New Roman"/>
                <w:color w:val="000000" w:themeColor="text1"/>
                <w:szCs w:val="28"/>
              </w:rPr>
              <w:t>Cơ quan, tổ chức quản lý giám định viên tư pháp gửi hồ sơ đề nghị bổ nhiệm, cấp thẻ giám định viên tư pháp xây dựng về Bộ phận tiếp nhận và trả kết quả giải quyết thủ tục hành chính của Ủy ban nhân dân cấp tỉnh;</w:t>
            </w:r>
          </w:p>
          <w:p w:rsidR="00585AC7" w:rsidRPr="00585AC7" w:rsidRDefault="00585AC7" w:rsidP="00585AC7">
            <w:pPr>
              <w:spacing w:before="120" w:after="120"/>
              <w:ind w:firstLine="567"/>
              <w:jc w:val="both"/>
              <w:rPr>
                <w:rFonts w:cs="Times New Roman"/>
                <w:color w:val="000000" w:themeColor="text1"/>
                <w:szCs w:val="28"/>
              </w:rPr>
            </w:pPr>
            <w:r w:rsidRPr="00585AC7">
              <w:rPr>
                <w:rFonts w:cs="Times New Roman"/>
                <w:color w:val="000000" w:themeColor="text1"/>
                <w:szCs w:val="28"/>
              </w:rPr>
              <w:t>- Sở Xây dựng chủ trì, phối hợp với Sở Tư pháp lựa chọn người có đủ tiêu chuẩn, đề nghị Chủ tịch Ủy ban nhân dân cấp tỉnh bổ nhiệm, cấp thẻ giám định viên tư pháp theo quy định.</w:t>
            </w:r>
          </w:p>
          <w:p w:rsidR="00585AC7" w:rsidRPr="00585AC7" w:rsidRDefault="00585AC7" w:rsidP="00585AC7">
            <w:pPr>
              <w:spacing w:before="120" w:after="120"/>
              <w:ind w:firstLine="567"/>
              <w:jc w:val="both"/>
              <w:rPr>
                <w:rFonts w:cs="Times New Roman"/>
                <w:color w:val="000000" w:themeColor="text1"/>
                <w:szCs w:val="28"/>
              </w:rPr>
            </w:pPr>
            <w:r w:rsidRPr="00585AC7">
              <w:rPr>
                <w:rFonts w:cs="Times New Roman"/>
                <w:color w:val="000000" w:themeColor="text1"/>
                <w:szCs w:val="28"/>
              </w:rPr>
              <w:t>- Trong vòng 20 ngày kể từ khi nhận được hồ sơ hợp lệ theo quy định, Chủ tịch Ủy ban nhân dân cấp tỉnh ra quyết định bổ nhiệm giám định viên tư pháp xây dựng. Trường hợp từ chối phải thông báo cho người đề nghị bằng văn bản và nêu rõ lý do;</w:t>
            </w:r>
          </w:p>
          <w:p w:rsidR="00E34F17" w:rsidRPr="00585AC7" w:rsidRDefault="00585AC7" w:rsidP="00585AC7">
            <w:pPr>
              <w:spacing w:before="120" w:after="120"/>
              <w:ind w:firstLine="567"/>
              <w:jc w:val="both"/>
              <w:rPr>
                <w:rFonts w:ascii="Arial" w:hAnsi="Arial" w:cs="Arial"/>
                <w:color w:val="1E2F41"/>
                <w:sz w:val="27"/>
                <w:szCs w:val="27"/>
                <w:shd w:val="clear" w:color="auto" w:fill="FFFFFF"/>
              </w:rPr>
            </w:pPr>
            <w:r w:rsidRPr="00585AC7">
              <w:rPr>
                <w:rFonts w:cs="Times New Roman"/>
                <w:color w:val="000000" w:themeColor="text1"/>
                <w:szCs w:val="28"/>
              </w:rPr>
              <w:t>Trong thời hạn 10 ngày kể từ ngày nhận được quyết định bổ nhiệm và cấp thẻ giám định viên tư pháp kèm theo hồ sơ, Chủ tịch Ủy ban nhân dân cấp tỉnh cấp thẻ giám định viên tư pháp</w:t>
            </w:r>
          </w:p>
        </w:tc>
      </w:tr>
      <w:tr w:rsidR="00EF59EA" w:rsidRPr="00EF59EA" w:rsidTr="00F629FD">
        <w:tc>
          <w:tcPr>
            <w:tcW w:w="9209" w:type="dxa"/>
          </w:tcPr>
          <w:p w:rsidR="00D26CD0" w:rsidRPr="006A35F3" w:rsidRDefault="00D26CD0" w:rsidP="006A35F3">
            <w:pPr>
              <w:ind w:left="567"/>
              <w:rPr>
                <w:rFonts w:cs="Times New Roman"/>
                <w:color w:val="000000" w:themeColor="text1"/>
                <w:szCs w:val="28"/>
              </w:rPr>
            </w:pPr>
            <w:r w:rsidRPr="006A35F3">
              <w:rPr>
                <w:rFonts w:cs="Times New Roman"/>
                <w:b/>
                <w:color w:val="000000" w:themeColor="text1"/>
                <w:szCs w:val="28"/>
              </w:rPr>
              <w:t xml:space="preserve">2. </w:t>
            </w:r>
            <w:r w:rsidR="006A35F3" w:rsidRPr="006A35F3">
              <w:rPr>
                <w:rFonts w:cs="Times New Roman"/>
                <w:b/>
                <w:color w:val="000000" w:themeColor="text1"/>
                <w:szCs w:val="28"/>
              </w:rPr>
              <w:t>cách thức thực hiện:</w:t>
            </w:r>
            <w:r w:rsidR="006A35F3" w:rsidRPr="006A35F3">
              <w:rPr>
                <w:rFonts w:cs="Times New Roman"/>
                <w:color w:val="000000" w:themeColor="text1"/>
                <w:szCs w:val="28"/>
              </w:rPr>
              <w:t xml:space="preserve"> Trực tiếp; qua bưu chính công ích; trực tuyến</w:t>
            </w:r>
          </w:p>
        </w:tc>
      </w:tr>
      <w:tr w:rsidR="00EF59EA" w:rsidRPr="00EF59EA" w:rsidTr="00F629FD">
        <w:tc>
          <w:tcPr>
            <w:tcW w:w="9209" w:type="dxa"/>
          </w:tcPr>
          <w:p w:rsidR="00E34F17" w:rsidRPr="003333C7" w:rsidRDefault="00D26CD0" w:rsidP="003333C7">
            <w:pPr>
              <w:spacing w:before="120" w:after="120"/>
              <w:ind w:firstLine="567"/>
              <w:rPr>
                <w:b/>
                <w:color w:val="000000" w:themeColor="text1"/>
                <w:szCs w:val="28"/>
                <w:shd w:val="clear" w:color="auto" w:fill="FFFFFF"/>
              </w:rPr>
            </w:pPr>
            <w:r w:rsidRPr="003333C7">
              <w:rPr>
                <w:b/>
                <w:color w:val="000000" w:themeColor="text1"/>
                <w:szCs w:val="28"/>
                <w:shd w:val="clear" w:color="auto" w:fill="FFFFFF"/>
              </w:rPr>
              <w:t xml:space="preserve">3. </w:t>
            </w:r>
            <w:r w:rsidR="00E34F17" w:rsidRPr="003333C7">
              <w:rPr>
                <w:b/>
                <w:color w:val="000000" w:themeColor="text1"/>
                <w:szCs w:val="28"/>
                <w:shd w:val="clear" w:color="auto" w:fill="FFFFFF"/>
              </w:rPr>
              <w:t>Thành phần hồ sơ</w:t>
            </w:r>
            <w:r w:rsidRPr="003333C7">
              <w:rPr>
                <w:b/>
                <w:color w:val="000000" w:themeColor="text1"/>
                <w:szCs w:val="28"/>
                <w:shd w:val="clear" w:color="auto" w:fill="FFFFFF"/>
              </w:rPr>
              <w:t>:</w:t>
            </w:r>
          </w:p>
          <w:p w:rsidR="00D26CD0" w:rsidRPr="003333C7" w:rsidRDefault="003333C7" w:rsidP="003333C7">
            <w:pPr>
              <w:spacing w:before="120" w:after="120"/>
              <w:ind w:firstLine="567"/>
              <w:rPr>
                <w:color w:val="000000" w:themeColor="text1"/>
                <w:szCs w:val="28"/>
                <w:shd w:val="clear" w:color="auto" w:fill="FFFFFF"/>
              </w:rPr>
            </w:pPr>
            <w:r w:rsidRPr="003333C7">
              <w:rPr>
                <w:color w:val="000000" w:themeColor="text1"/>
                <w:szCs w:val="28"/>
                <w:shd w:val="clear" w:color="auto" w:fill="FFFFFF"/>
              </w:rPr>
              <w:t>- Bản sao bằng tốt nghiệp đại học trở lên phù hợp với lĩnh vực chuyên môn được đề nghị bổ nhiệm;</w:t>
            </w:r>
          </w:p>
          <w:p w:rsidR="003333C7" w:rsidRPr="003333C7" w:rsidRDefault="003333C7" w:rsidP="003333C7">
            <w:pPr>
              <w:spacing w:before="120" w:after="120"/>
              <w:ind w:firstLine="567"/>
              <w:jc w:val="both"/>
              <w:rPr>
                <w:color w:val="000000" w:themeColor="text1"/>
                <w:szCs w:val="28"/>
                <w:shd w:val="clear" w:color="auto" w:fill="FFFFFF"/>
              </w:rPr>
            </w:pPr>
            <w:r w:rsidRPr="003333C7">
              <w:rPr>
                <w:color w:val="000000" w:themeColor="text1"/>
                <w:szCs w:val="28"/>
                <w:shd w:val="clear" w:color="auto" w:fill="FFFFFF"/>
              </w:rPr>
              <w:t>- Sơ yếu lý lịch và Phiếu lý lịch tư pháp. Trường hợp người được đề nghị bổ nhiệm giám định viên tư pháp đang là công chức, viên chức thì không cần có Phiếu lý lịch tư pháp;</w:t>
            </w:r>
          </w:p>
          <w:p w:rsidR="003333C7" w:rsidRPr="003333C7" w:rsidRDefault="003333C7" w:rsidP="003333C7">
            <w:pPr>
              <w:spacing w:before="120" w:after="120"/>
              <w:ind w:firstLine="567"/>
              <w:rPr>
                <w:color w:val="000000" w:themeColor="text1"/>
                <w:szCs w:val="28"/>
                <w:shd w:val="clear" w:color="auto" w:fill="FFFFFF"/>
              </w:rPr>
            </w:pPr>
            <w:r w:rsidRPr="003333C7">
              <w:rPr>
                <w:color w:val="000000" w:themeColor="text1"/>
                <w:szCs w:val="28"/>
                <w:shd w:val="clear" w:color="auto" w:fill="FFFFFF"/>
              </w:rPr>
              <w:t>- Giấy xác nhận về thời gian thực tế hoạt động chuyên môn của cơ quan, tổ chức nơi người được đề nghị bổ nhiệm làm việc;</w:t>
            </w:r>
          </w:p>
          <w:p w:rsidR="003333C7" w:rsidRPr="003333C7" w:rsidRDefault="003333C7" w:rsidP="003333C7">
            <w:pPr>
              <w:spacing w:before="120" w:after="120"/>
              <w:ind w:firstLine="567"/>
              <w:jc w:val="both"/>
              <w:rPr>
                <w:color w:val="000000" w:themeColor="text1"/>
                <w:szCs w:val="28"/>
                <w:shd w:val="clear" w:color="auto" w:fill="FFFFFF"/>
              </w:rPr>
            </w:pPr>
            <w:r w:rsidRPr="003333C7">
              <w:rPr>
                <w:color w:val="000000" w:themeColor="text1"/>
                <w:szCs w:val="28"/>
                <w:shd w:val="clear" w:color="auto" w:fill="FFFFFF"/>
              </w:rP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kèm theo Thông tư số 17/2021/TT-BXD);</w:t>
            </w:r>
          </w:p>
          <w:p w:rsidR="003333C7" w:rsidRPr="003333C7" w:rsidRDefault="003333C7" w:rsidP="003333C7">
            <w:pPr>
              <w:spacing w:before="120" w:after="120"/>
              <w:ind w:firstLine="567"/>
              <w:jc w:val="both"/>
              <w:rPr>
                <w:color w:val="000000" w:themeColor="text1"/>
                <w:szCs w:val="28"/>
                <w:shd w:val="clear" w:color="auto" w:fill="FFFFFF"/>
              </w:rPr>
            </w:pPr>
            <w:r w:rsidRPr="003333C7">
              <w:rPr>
                <w:color w:val="000000" w:themeColor="text1"/>
                <w:szCs w:val="28"/>
                <w:shd w:val="clear" w:color="auto" w:fill="FFFFFF"/>
              </w:rPr>
              <w:t>- Bản sao Chứng chỉ hành nghề hoạt động xây dựng hoặc bản kê khai điều kiện năng lực phù hợp với tiêu chuẩn giám định viên tư pháp xây dựng quy định (nếu có).</w:t>
            </w:r>
          </w:p>
          <w:p w:rsidR="003333C7" w:rsidRPr="003333C7" w:rsidRDefault="003333C7" w:rsidP="003333C7">
            <w:pPr>
              <w:spacing w:before="120" w:after="120"/>
              <w:ind w:firstLine="567"/>
              <w:jc w:val="both"/>
              <w:rPr>
                <w:color w:val="000000" w:themeColor="text1"/>
                <w:szCs w:val="28"/>
                <w:shd w:val="clear" w:color="auto" w:fill="FFFFFF"/>
              </w:rPr>
            </w:pPr>
            <w:r w:rsidRPr="003333C7">
              <w:rPr>
                <w:color w:val="000000" w:themeColor="text1"/>
                <w:szCs w:val="28"/>
                <w:shd w:val="clear" w:color="auto" w:fill="FFFFFF"/>
              </w:rPr>
              <w:t>- 02 ảnh màu chân dung cỡ 2cm x 3cm (chụp trong vòng 06 tháng gầ</w:t>
            </w:r>
            <w:r>
              <w:rPr>
                <w:color w:val="000000" w:themeColor="text1"/>
                <w:szCs w:val="28"/>
                <w:shd w:val="clear" w:color="auto" w:fill="FFFFFF"/>
              </w:rPr>
              <w:t xml:space="preserve">n </w:t>
            </w:r>
            <w:r w:rsidRPr="003333C7">
              <w:rPr>
                <w:color w:val="000000" w:themeColor="text1"/>
                <w:szCs w:val="28"/>
                <w:shd w:val="clear" w:color="auto" w:fill="FFFFFF"/>
              </w:rPr>
              <w:t>nhất).</w:t>
            </w:r>
          </w:p>
        </w:tc>
      </w:tr>
      <w:tr w:rsidR="00EF59EA" w:rsidRPr="00EF59EA" w:rsidTr="00F629FD">
        <w:tc>
          <w:tcPr>
            <w:tcW w:w="9209" w:type="dxa"/>
          </w:tcPr>
          <w:p w:rsidR="00E34F17" w:rsidRPr="00EF59EA" w:rsidRDefault="006E147F" w:rsidP="00E34F17">
            <w:pPr>
              <w:ind w:left="360"/>
              <w:rPr>
                <w:rFonts w:cs="Times New Roman"/>
                <w:b/>
                <w:color w:val="000000" w:themeColor="text1"/>
                <w:szCs w:val="28"/>
              </w:rPr>
            </w:pPr>
            <w:r>
              <w:rPr>
                <w:rFonts w:cs="Times New Roman"/>
                <w:b/>
                <w:color w:val="000000" w:themeColor="text1"/>
                <w:szCs w:val="28"/>
              </w:rPr>
              <w:t xml:space="preserve">4. </w:t>
            </w:r>
            <w:r w:rsidR="00E34F17" w:rsidRPr="00EF59EA">
              <w:rPr>
                <w:rFonts w:cs="Times New Roman"/>
                <w:b/>
                <w:color w:val="000000" w:themeColor="text1"/>
                <w:szCs w:val="28"/>
              </w:rPr>
              <w:t>Số lượng hồ sơ</w:t>
            </w:r>
            <w:r>
              <w:rPr>
                <w:rFonts w:cs="Times New Roman"/>
                <w:b/>
                <w:color w:val="000000" w:themeColor="text1"/>
                <w:szCs w:val="28"/>
              </w:rPr>
              <w:t xml:space="preserve">: </w:t>
            </w:r>
            <w:r w:rsidRPr="006E147F">
              <w:rPr>
                <w:rFonts w:cs="Times New Roman"/>
                <w:color w:val="000000" w:themeColor="text1"/>
                <w:szCs w:val="28"/>
              </w:rPr>
              <w:t>01 bộ</w:t>
            </w:r>
          </w:p>
        </w:tc>
      </w:tr>
      <w:tr w:rsidR="00EF59EA" w:rsidRPr="00EF59EA" w:rsidTr="00F629FD">
        <w:tc>
          <w:tcPr>
            <w:tcW w:w="9209" w:type="dxa"/>
          </w:tcPr>
          <w:p w:rsidR="00E34F17" w:rsidRPr="00EF59EA" w:rsidRDefault="006E147F" w:rsidP="00E34F17">
            <w:pPr>
              <w:ind w:left="360"/>
              <w:rPr>
                <w:rFonts w:cs="Times New Roman"/>
                <w:b/>
                <w:color w:val="000000" w:themeColor="text1"/>
                <w:szCs w:val="28"/>
              </w:rPr>
            </w:pPr>
            <w:r>
              <w:rPr>
                <w:rFonts w:cs="Times New Roman"/>
                <w:b/>
                <w:color w:val="000000" w:themeColor="text1"/>
                <w:szCs w:val="28"/>
              </w:rPr>
              <w:t xml:space="preserve">5. </w:t>
            </w:r>
            <w:r w:rsidR="00E34F17" w:rsidRPr="00EF59EA">
              <w:rPr>
                <w:rFonts w:cs="Times New Roman"/>
                <w:b/>
                <w:color w:val="000000" w:themeColor="text1"/>
                <w:szCs w:val="28"/>
              </w:rPr>
              <w:t>Thời gian giải quyế</w:t>
            </w:r>
            <w:r>
              <w:rPr>
                <w:rFonts w:cs="Times New Roman"/>
                <w:b/>
                <w:color w:val="000000" w:themeColor="text1"/>
                <w:szCs w:val="28"/>
              </w:rPr>
              <w:t xml:space="preserve">t: </w:t>
            </w:r>
            <w:r w:rsidR="003333C7">
              <w:rPr>
                <w:rFonts w:cs="Times New Roman"/>
                <w:color w:val="000000" w:themeColor="text1"/>
                <w:szCs w:val="28"/>
              </w:rPr>
              <w:t>3</w:t>
            </w:r>
            <w:r w:rsidRPr="006E147F">
              <w:rPr>
                <w:rFonts w:cs="Times New Roman"/>
                <w:color w:val="000000" w:themeColor="text1"/>
                <w:szCs w:val="28"/>
              </w:rPr>
              <w:t>0 ngày</w:t>
            </w:r>
          </w:p>
        </w:tc>
      </w:tr>
      <w:tr w:rsidR="00EF59EA" w:rsidRPr="00EF59EA" w:rsidTr="00F629FD">
        <w:tc>
          <w:tcPr>
            <w:tcW w:w="9209" w:type="dxa"/>
          </w:tcPr>
          <w:p w:rsidR="00E34F17" w:rsidRPr="00EF59EA" w:rsidRDefault="006E147F" w:rsidP="00E34F17">
            <w:pPr>
              <w:ind w:left="360"/>
              <w:rPr>
                <w:rFonts w:cs="Times New Roman"/>
                <w:b/>
                <w:color w:val="000000" w:themeColor="text1"/>
                <w:szCs w:val="28"/>
              </w:rPr>
            </w:pPr>
            <w:r>
              <w:rPr>
                <w:rFonts w:cs="Times New Roman"/>
                <w:b/>
                <w:color w:val="000000" w:themeColor="text1"/>
                <w:szCs w:val="28"/>
              </w:rPr>
              <w:lastRenderedPageBreak/>
              <w:t xml:space="preserve">6. </w:t>
            </w:r>
            <w:r w:rsidR="00E34F17" w:rsidRPr="00EF59EA">
              <w:rPr>
                <w:rFonts w:cs="Times New Roman"/>
                <w:b/>
                <w:color w:val="000000" w:themeColor="text1"/>
                <w:szCs w:val="28"/>
              </w:rPr>
              <w:t>Đối tượng thực hiện</w:t>
            </w:r>
            <w:r>
              <w:rPr>
                <w:rFonts w:cs="Times New Roman"/>
                <w:b/>
                <w:color w:val="000000" w:themeColor="text1"/>
                <w:szCs w:val="28"/>
              </w:rPr>
              <w:t xml:space="preserve">: </w:t>
            </w:r>
            <w:r w:rsidRPr="006E147F">
              <w:rPr>
                <w:rFonts w:cs="Times New Roman"/>
                <w:color w:val="000000" w:themeColor="text1"/>
                <w:szCs w:val="28"/>
              </w:rPr>
              <w:t>Công dân Việt Nam</w:t>
            </w:r>
            <w:r w:rsidR="003333C7">
              <w:rPr>
                <w:rFonts w:cs="Times New Roman"/>
                <w:color w:val="000000" w:themeColor="text1"/>
                <w:szCs w:val="28"/>
              </w:rPr>
              <w:t>; cán bộ, công chức, viên chức</w:t>
            </w:r>
          </w:p>
        </w:tc>
      </w:tr>
      <w:tr w:rsidR="00EF59EA" w:rsidRPr="00EF59EA" w:rsidTr="00F629FD">
        <w:trPr>
          <w:trHeight w:val="395"/>
        </w:trPr>
        <w:tc>
          <w:tcPr>
            <w:tcW w:w="9209" w:type="dxa"/>
          </w:tcPr>
          <w:p w:rsidR="00E34F17" w:rsidRDefault="006E147F" w:rsidP="00AC3148">
            <w:pPr>
              <w:ind w:left="360"/>
              <w:rPr>
                <w:color w:val="000000" w:themeColor="text1"/>
                <w:szCs w:val="28"/>
                <w:shd w:val="clear" w:color="auto" w:fill="FFFFFF"/>
              </w:rPr>
            </w:pPr>
            <w:r w:rsidRPr="006E147F">
              <w:rPr>
                <w:b/>
                <w:color w:val="000000" w:themeColor="text1"/>
                <w:szCs w:val="28"/>
                <w:shd w:val="clear" w:color="auto" w:fill="FFFFFF"/>
              </w:rPr>
              <w:t xml:space="preserve">7. </w:t>
            </w:r>
            <w:r w:rsidR="00E34F17" w:rsidRPr="006E147F">
              <w:rPr>
                <w:b/>
                <w:color w:val="000000" w:themeColor="text1"/>
                <w:szCs w:val="28"/>
                <w:shd w:val="clear" w:color="auto" w:fill="FFFFFF"/>
              </w:rPr>
              <w:t>Cơ quan thực hiện</w:t>
            </w:r>
            <w:r w:rsidRPr="006E147F">
              <w:rPr>
                <w:b/>
                <w:color w:val="000000" w:themeColor="text1"/>
                <w:szCs w:val="28"/>
                <w:shd w:val="clear" w:color="auto" w:fill="FFFFFF"/>
              </w:rPr>
              <w:t>:</w:t>
            </w:r>
            <w:r w:rsidRPr="006E147F">
              <w:rPr>
                <w:color w:val="000000" w:themeColor="text1"/>
                <w:szCs w:val="28"/>
                <w:shd w:val="clear" w:color="auto" w:fill="FFFFFF"/>
              </w:rPr>
              <w:t xml:space="preserve"> </w:t>
            </w:r>
          </w:p>
          <w:p w:rsidR="00AC3148" w:rsidRDefault="00AC3148" w:rsidP="00AC3148">
            <w:pPr>
              <w:ind w:left="360"/>
              <w:rPr>
                <w:color w:val="000000" w:themeColor="text1"/>
                <w:szCs w:val="28"/>
                <w:shd w:val="clear" w:color="auto" w:fill="FFFFFF"/>
              </w:rPr>
            </w:pPr>
            <w:r>
              <w:rPr>
                <w:color w:val="000000" w:themeColor="text1"/>
                <w:szCs w:val="28"/>
                <w:shd w:val="clear" w:color="auto" w:fill="FFFFFF"/>
              </w:rPr>
              <w:t>Cơ quan thực hiện: Sở Xây dựng</w:t>
            </w:r>
          </w:p>
          <w:p w:rsidR="00AC3148" w:rsidRPr="006E147F" w:rsidRDefault="00AC3148" w:rsidP="00AC3148">
            <w:pPr>
              <w:ind w:left="360"/>
              <w:rPr>
                <w:color w:val="000000" w:themeColor="text1"/>
                <w:szCs w:val="28"/>
                <w:shd w:val="clear" w:color="auto" w:fill="FFFFFF"/>
              </w:rPr>
            </w:pPr>
            <w:r>
              <w:rPr>
                <w:color w:val="000000" w:themeColor="text1"/>
                <w:szCs w:val="28"/>
                <w:shd w:val="clear" w:color="auto" w:fill="FFFFFF"/>
              </w:rPr>
              <w:t>Cơ quan có thẩm quyền quyết định: UBND tỉnh</w:t>
            </w:r>
          </w:p>
        </w:tc>
      </w:tr>
      <w:tr w:rsidR="00EF59EA" w:rsidRPr="00EF59EA" w:rsidTr="00F629FD">
        <w:tc>
          <w:tcPr>
            <w:tcW w:w="9209" w:type="dxa"/>
          </w:tcPr>
          <w:p w:rsidR="00E34F17" w:rsidRPr="00AC3148" w:rsidRDefault="00AC3148" w:rsidP="00AC3148">
            <w:pPr>
              <w:spacing w:before="120" w:line="244" w:lineRule="auto"/>
              <w:jc w:val="both"/>
              <w:rPr>
                <w:b/>
                <w:bCs/>
                <w:lang w:val="cs-CZ"/>
              </w:rPr>
            </w:pPr>
            <w:r>
              <w:rPr>
                <w:rFonts w:cs="Times New Roman"/>
                <w:b/>
                <w:color w:val="000000" w:themeColor="text1"/>
                <w:szCs w:val="28"/>
              </w:rPr>
              <w:t xml:space="preserve">     </w:t>
            </w:r>
            <w:r w:rsidR="006E147F">
              <w:rPr>
                <w:rFonts w:cs="Times New Roman"/>
                <w:b/>
                <w:color w:val="000000" w:themeColor="text1"/>
                <w:szCs w:val="28"/>
              </w:rPr>
              <w:t xml:space="preserve">8: </w:t>
            </w:r>
            <w:r w:rsidR="00E34F17" w:rsidRPr="00EF59EA">
              <w:rPr>
                <w:rFonts w:cs="Times New Roman"/>
                <w:b/>
                <w:color w:val="000000" w:themeColor="text1"/>
                <w:szCs w:val="28"/>
              </w:rPr>
              <w:t>Mẫu đơn</w:t>
            </w:r>
            <w:r w:rsidR="006E147F">
              <w:rPr>
                <w:rFonts w:cs="Times New Roman"/>
                <w:b/>
                <w:color w:val="000000" w:themeColor="text1"/>
                <w:szCs w:val="28"/>
              </w:rPr>
              <w:t xml:space="preserve">: </w:t>
            </w:r>
            <w:r w:rsidRPr="00AC3148">
              <w:rPr>
                <w:bCs/>
                <w:lang w:val="cs-CZ"/>
              </w:rPr>
              <w:t xml:space="preserve">Văn </w:t>
            </w:r>
            <w:r w:rsidRPr="00AC3148">
              <w:rPr>
                <w:rFonts w:cs="Times New Roman"/>
                <w:color w:val="000000" w:themeColor="text1"/>
                <w:szCs w:val="28"/>
              </w:rPr>
              <w:t>bản đề nghị bổ nhiệm, cấp thẻ giám định viên tư pháp xây dựng (Mẫu số 02 Ban hành kèm theo Thông tư số 17/2021/TT-BXD ngày 22/12/2021)</w:t>
            </w:r>
          </w:p>
        </w:tc>
      </w:tr>
      <w:tr w:rsidR="00EF59EA" w:rsidRPr="00EF59EA" w:rsidTr="00F629FD">
        <w:tc>
          <w:tcPr>
            <w:tcW w:w="9209" w:type="dxa"/>
          </w:tcPr>
          <w:p w:rsidR="00E34F17" w:rsidRPr="00EF59EA" w:rsidRDefault="006E147F" w:rsidP="003333C7">
            <w:pPr>
              <w:ind w:left="360"/>
              <w:rPr>
                <w:rFonts w:cs="Times New Roman"/>
                <w:b/>
                <w:color w:val="000000" w:themeColor="text1"/>
                <w:szCs w:val="28"/>
              </w:rPr>
            </w:pPr>
            <w:r>
              <w:rPr>
                <w:rFonts w:cs="Times New Roman"/>
                <w:b/>
                <w:color w:val="000000" w:themeColor="text1"/>
                <w:szCs w:val="28"/>
              </w:rPr>
              <w:t>9: Phí/</w:t>
            </w:r>
            <w:r w:rsidR="00E34F17" w:rsidRPr="00EF59EA">
              <w:rPr>
                <w:rFonts w:cs="Times New Roman"/>
                <w:b/>
                <w:color w:val="000000" w:themeColor="text1"/>
                <w:szCs w:val="28"/>
              </w:rPr>
              <w:t>Lệ</w:t>
            </w:r>
            <w:r>
              <w:rPr>
                <w:rFonts w:cs="Times New Roman"/>
                <w:b/>
                <w:color w:val="000000" w:themeColor="text1"/>
                <w:szCs w:val="28"/>
              </w:rPr>
              <w:t xml:space="preserve"> phí:</w:t>
            </w:r>
            <w:r w:rsidR="003333C7">
              <w:rPr>
                <w:rFonts w:cs="Times New Roman"/>
                <w:b/>
                <w:color w:val="000000" w:themeColor="text1"/>
                <w:szCs w:val="28"/>
              </w:rPr>
              <w:t xml:space="preserve"> </w:t>
            </w:r>
            <w:r w:rsidR="003333C7" w:rsidRPr="003333C7">
              <w:rPr>
                <w:rFonts w:cs="Times New Roman"/>
                <w:color w:val="000000" w:themeColor="text1"/>
                <w:szCs w:val="28"/>
              </w:rPr>
              <w:t>Không</w:t>
            </w:r>
          </w:p>
        </w:tc>
      </w:tr>
      <w:tr w:rsidR="00E00037" w:rsidRPr="00EF59EA" w:rsidTr="00F629FD">
        <w:tc>
          <w:tcPr>
            <w:tcW w:w="9209" w:type="dxa"/>
          </w:tcPr>
          <w:p w:rsidR="00E00037" w:rsidRDefault="00CA4238" w:rsidP="00CA4238">
            <w:pPr>
              <w:jc w:val="both"/>
              <w:rPr>
                <w:rFonts w:cs="Times New Roman"/>
                <w:b/>
                <w:color w:val="000000" w:themeColor="text1"/>
                <w:szCs w:val="28"/>
              </w:rPr>
            </w:pPr>
            <w:r>
              <w:rPr>
                <w:rFonts w:cs="Times New Roman"/>
                <w:b/>
                <w:color w:val="000000" w:themeColor="text1"/>
                <w:szCs w:val="28"/>
              </w:rPr>
              <w:t xml:space="preserve">     </w:t>
            </w:r>
            <w:r w:rsidR="00E00037">
              <w:rPr>
                <w:rFonts w:cs="Times New Roman"/>
                <w:b/>
                <w:color w:val="000000" w:themeColor="text1"/>
                <w:szCs w:val="28"/>
              </w:rPr>
              <w:t xml:space="preserve">10. Kết quả thực hiện TTHC: </w:t>
            </w:r>
            <w:r w:rsidR="003333C7" w:rsidRPr="00CA4238">
              <w:rPr>
                <w:rFonts w:cs="Times New Roman"/>
                <w:color w:val="000000" w:themeColor="text1"/>
                <w:szCs w:val="28"/>
              </w:rPr>
              <w:t>Quyết định bổ nhiệm giám định viên tư pháp xây dựng và thẻ giám định viên tư pháp xây dựng.</w:t>
            </w:r>
          </w:p>
        </w:tc>
      </w:tr>
      <w:tr w:rsidR="00EF59EA" w:rsidRPr="00F82337" w:rsidTr="00F629FD">
        <w:tc>
          <w:tcPr>
            <w:tcW w:w="9209" w:type="dxa"/>
          </w:tcPr>
          <w:p w:rsidR="00E34F17" w:rsidRPr="00AC3148" w:rsidRDefault="00E00037" w:rsidP="00CA4238">
            <w:pPr>
              <w:spacing w:before="120" w:after="120"/>
              <w:ind w:firstLine="567"/>
              <w:rPr>
                <w:rFonts w:cs="Times New Roman"/>
                <w:b/>
                <w:color w:val="000000" w:themeColor="text1"/>
                <w:szCs w:val="28"/>
              </w:rPr>
            </w:pPr>
            <w:r w:rsidRPr="00AC3148">
              <w:rPr>
                <w:rFonts w:cs="Times New Roman"/>
                <w:b/>
                <w:color w:val="000000" w:themeColor="text1"/>
                <w:szCs w:val="28"/>
              </w:rPr>
              <w:t>11</w:t>
            </w:r>
            <w:r w:rsidR="006E147F" w:rsidRPr="00AC3148">
              <w:rPr>
                <w:rFonts w:cs="Times New Roman"/>
                <w:b/>
                <w:color w:val="000000" w:themeColor="text1"/>
                <w:szCs w:val="28"/>
              </w:rPr>
              <w:t xml:space="preserve">. </w:t>
            </w:r>
            <w:r w:rsidR="00E34F17" w:rsidRPr="00AC3148">
              <w:rPr>
                <w:rFonts w:cs="Times New Roman"/>
                <w:b/>
                <w:color w:val="000000" w:themeColor="text1"/>
                <w:szCs w:val="28"/>
              </w:rPr>
              <w:t>Điều kiện thực hiện TTHC</w:t>
            </w:r>
            <w:r w:rsidR="006E147F" w:rsidRPr="00AC3148">
              <w:rPr>
                <w:rFonts w:cs="Times New Roman"/>
                <w:b/>
                <w:color w:val="000000" w:themeColor="text1"/>
                <w:szCs w:val="28"/>
              </w:rPr>
              <w:t>:</w:t>
            </w:r>
          </w:p>
          <w:p w:rsidR="003333C7" w:rsidRPr="00CA4238" w:rsidRDefault="003333C7" w:rsidP="00CA4238">
            <w:pPr>
              <w:spacing w:before="120" w:after="120"/>
              <w:ind w:firstLine="567"/>
              <w:jc w:val="both"/>
              <w:rPr>
                <w:rFonts w:cs="Times New Roman"/>
                <w:color w:val="000000" w:themeColor="text1"/>
                <w:szCs w:val="28"/>
              </w:rPr>
            </w:pPr>
            <w:r w:rsidRPr="00CA4238">
              <w:rPr>
                <w:rFonts w:cs="Times New Roman"/>
                <w:color w:val="000000" w:themeColor="text1"/>
                <w:szCs w:val="28"/>
              </w:rPr>
              <w:t xml:space="preserve">Giám định viên tư pháp xây dựng phải đáp ứng tiêu chuẩn quy định tại khoản 1 Điều 7 Luật Giám định tư pháp số 13/2012/QH13; trong đó, tiêu chuẩn hoạt động chuyên môn phù hợp được quy định như sau: </w:t>
            </w:r>
          </w:p>
          <w:p w:rsidR="003333C7" w:rsidRPr="00CA4238" w:rsidRDefault="003333C7" w:rsidP="00CA4238">
            <w:pPr>
              <w:spacing w:before="120" w:after="120"/>
              <w:ind w:firstLine="567"/>
              <w:jc w:val="both"/>
              <w:rPr>
                <w:rFonts w:cs="Times New Roman"/>
                <w:color w:val="000000" w:themeColor="text1"/>
                <w:szCs w:val="28"/>
              </w:rPr>
            </w:pPr>
            <w:r w:rsidRPr="00CA4238">
              <w:rPr>
                <w:rFonts w:cs="Times New Roman"/>
                <w:color w:val="000000" w:themeColor="text1"/>
                <w:szCs w:val="28"/>
              </w:rPr>
              <w:t xml:space="preserve">1. Trường hợp giám định tư pháp về sự tuân thủ các quy định của pháp luật a) Đối với giám định sự tuân thủ các quy định của pháp luật về quy hoạch xây dựng: phải có chứng chỉ hành nghề thiết kế quy hoạch xây dựng theo quy định của pháp luật về xây dựng hoặc có kinh nghiệm quản lý nhà nước đủ 05 năm trở lên về quy hoạch xây dựng, phù hợp với đối tượng và nội dung giám định; b) Đối với giám định sự tuân thủ các quy định của pháp luật về hoạt động đầu tư xây dựng: phải đáp ứng điều kiện năng lực hoạt động xây dựng theo quy định của pháp luật về xây dựng để thực hiện một trong các công việc khảo sát xây dựng, thiết kế xây dựng, giám sát thi công xây dựng, định giá xây dựng, quản lý dự án đầu tư xây dựng, kiểm định xây dựng hoặc có kinh nghiệm quản lý nhà nước đủ 05 năm trở lên về hoạt động xây dựng, phù hợp với đối tượng và nội dung giám định; c) Đối với giám định sự tuân thủ các quy định của pháp luật về nhà ở và kinh doanh bất động sản: phải có kinh nghiệm quản lý nhà nước đủ 05 năm trở lên về nhà ở và thị trường bất động sản, phù hợp với đối tượng và nội dung giám định. </w:t>
            </w:r>
          </w:p>
          <w:p w:rsidR="003333C7" w:rsidRPr="00CA4238" w:rsidRDefault="003333C7" w:rsidP="00CA4238">
            <w:pPr>
              <w:spacing w:before="120" w:after="120"/>
              <w:ind w:firstLine="567"/>
              <w:jc w:val="both"/>
              <w:rPr>
                <w:rFonts w:cs="Times New Roman"/>
                <w:color w:val="000000" w:themeColor="text1"/>
                <w:szCs w:val="28"/>
              </w:rPr>
            </w:pPr>
            <w:r w:rsidRPr="00CA4238">
              <w:rPr>
                <w:rFonts w:cs="Times New Roman"/>
                <w:color w:val="000000" w:themeColor="text1"/>
                <w:szCs w:val="28"/>
              </w:rPr>
              <w:t xml:space="preserve">2. Trường hợp giám định tư pháp về chất lượng xây dựng công trình a) Đối với giám định chất lượng khảo sát xây dựng hoặc thiết kế xây dựng: phải có chứng chỉ hành nghề khảo sát xây dựng hoặc thiết kế xây dựng theo quy định của pháp luật về xây dựng, phù hợp với đối tượng và nội dung giám định; b) Đối với giám định chất lượng công trình xây dựng, bộ phận công trình xây dựng; giám định nguyên nhân sự cố công trình xây dựng, nguyên nhân hư hỏng công trình xây dựng: phải đáp ứng điều kiện hành nghề kiểm định xây dựng theo quy định của pháp luật về xây dựng, phù hợp với đối tượng và nội dung giám định. </w:t>
            </w:r>
          </w:p>
          <w:p w:rsidR="006E147F" w:rsidRPr="00CA4238" w:rsidRDefault="003333C7" w:rsidP="00CA4238">
            <w:pPr>
              <w:spacing w:before="120" w:after="120"/>
              <w:ind w:firstLine="567"/>
              <w:jc w:val="both"/>
              <w:rPr>
                <w:rFonts w:cs="Times New Roman"/>
                <w:color w:val="000000" w:themeColor="text1"/>
                <w:szCs w:val="28"/>
              </w:rPr>
            </w:pPr>
            <w:r w:rsidRPr="00CA4238">
              <w:rPr>
                <w:rFonts w:cs="Times New Roman"/>
                <w:color w:val="000000" w:themeColor="text1"/>
                <w:szCs w:val="28"/>
              </w:rPr>
              <w:t>3. Trường hợp giám định chi phí xây dựng công trình, giá trị nhà ở và bất động sản: phải có chứng chỉ hành nghề định giá xây dựng theo quy định của pháp luật về xây dựng hoặc có kinh nghiệm quản lý nhà nước đủ 05 năm trở lên, phù hợp với đối tượng và nội dung giám định.</w:t>
            </w:r>
          </w:p>
        </w:tc>
      </w:tr>
      <w:tr w:rsidR="00EF59EA" w:rsidRPr="00F82337" w:rsidTr="00F629FD">
        <w:tc>
          <w:tcPr>
            <w:tcW w:w="9209" w:type="dxa"/>
          </w:tcPr>
          <w:p w:rsidR="00E34F17" w:rsidRPr="00F82337" w:rsidRDefault="00FF057B" w:rsidP="00F82337">
            <w:pPr>
              <w:ind w:left="360"/>
              <w:rPr>
                <w:b/>
                <w:color w:val="000000" w:themeColor="text1"/>
                <w:szCs w:val="28"/>
                <w:shd w:val="clear" w:color="auto" w:fill="FFFFFF"/>
              </w:rPr>
            </w:pPr>
            <w:r>
              <w:rPr>
                <w:b/>
                <w:color w:val="000000" w:themeColor="text1"/>
                <w:szCs w:val="28"/>
                <w:shd w:val="clear" w:color="auto" w:fill="FFFFFF"/>
              </w:rPr>
              <w:lastRenderedPageBreak/>
              <w:t>12</w:t>
            </w:r>
            <w:r w:rsidR="00F82337" w:rsidRPr="00F82337">
              <w:rPr>
                <w:b/>
                <w:color w:val="000000" w:themeColor="text1"/>
                <w:szCs w:val="28"/>
                <w:shd w:val="clear" w:color="auto" w:fill="FFFFFF"/>
              </w:rPr>
              <w:t xml:space="preserve">. </w:t>
            </w:r>
            <w:r w:rsidR="00E34F17" w:rsidRPr="00F82337">
              <w:rPr>
                <w:b/>
                <w:color w:val="000000" w:themeColor="text1"/>
                <w:szCs w:val="28"/>
                <w:shd w:val="clear" w:color="auto" w:fill="FFFFFF"/>
              </w:rPr>
              <w:t>Căn cứ pháp lý</w:t>
            </w:r>
          </w:p>
          <w:p w:rsidR="003333C7" w:rsidRPr="00CA4238" w:rsidRDefault="003333C7" w:rsidP="00CA4238">
            <w:pPr>
              <w:pStyle w:val="NormalWeb"/>
              <w:spacing w:before="120" w:beforeAutospacing="0" w:after="120" w:afterAutospacing="0"/>
              <w:ind w:firstLine="567"/>
              <w:jc w:val="both"/>
              <w:textAlignment w:val="baseline"/>
              <w:rPr>
                <w:rFonts w:eastAsiaTheme="minorHAnsi"/>
                <w:color w:val="000000" w:themeColor="text1"/>
                <w:sz w:val="28"/>
                <w:szCs w:val="28"/>
              </w:rPr>
            </w:pPr>
            <w:r>
              <w:rPr>
                <w:rFonts w:ascii="Arial" w:hAnsi="Arial" w:cs="Arial"/>
                <w:color w:val="1E2F41"/>
                <w:sz w:val="21"/>
                <w:szCs w:val="21"/>
              </w:rPr>
              <w:t xml:space="preserve">- </w:t>
            </w:r>
            <w:r w:rsidRPr="00CA4238">
              <w:rPr>
                <w:rFonts w:eastAsiaTheme="minorHAnsi"/>
                <w:color w:val="000000" w:themeColor="text1"/>
                <w:sz w:val="28"/>
                <w:szCs w:val="28"/>
              </w:rPr>
              <w:t>Luật Giám định tư pháp số 13/2012/QH13; Luật số 56/2020/QH14 sửa đổi, bổ sung một số điều của Luật Giám định tư pháp.</w:t>
            </w:r>
          </w:p>
          <w:p w:rsidR="003333C7" w:rsidRPr="00CA4238" w:rsidRDefault="003333C7" w:rsidP="00CA4238">
            <w:pPr>
              <w:pStyle w:val="NormalWeb"/>
              <w:spacing w:before="120" w:beforeAutospacing="0" w:after="120" w:afterAutospacing="0"/>
              <w:ind w:firstLine="567"/>
              <w:jc w:val="both"/>
              <w:textAlignment w:val="baseline"/>
              <w:rPr>
                <w:rFonts w:eastAsiaTheme="minorHAnsi"/>
                <w:color w:val="000000" w:themeColor="text1"/>
                <w:sz w:val="28"/>
                <w:szCs w:val="28"/>
              </w:rPr>
            </w:pPr>
            <w:r w:rsidRPr="00CA4238">
              <w:rPr>
                <w:rFonts w:eastAsiaTheme="minorHAnsi"/>
                <w:color w:val="000000" w:themeColor="text1"/>
                <w:sz w:val="28"/>
                <w:szCs w:val="28"/>
              </w:rPr>
              <w:t>- Nghị định số 35/2023/NĐ-CP ngày 20/6/2023 của Chính phủ sửa đổi, bổ sung một số điều của các Nghị định thuộc lĩnh vực quản lý nhà nước của Bộ Xây dựng.</w:t>
            </w:r>
          </w:p>
          <w:p w:rsidR="003333C7" w:rsidRPr="00CA4238" w:rsidRDefault="003333C7" w:rsidP="00CA4238">
            <w:pPr>
              <w:pStyle w:val="NormalWeb"/>
              <w:spacing w:before="120" w:beforeAutospacing="0" w:after="120" w:afterAutospacing="0"/>
              <w:ind w:firstLine="567"/>
              <w:jc w:val="both"/>
              <w:textAlignment w:val="baseline"/>
              <w:rPr>
                <w:rFonts w:eastAsiaTheme="minorHAnsi"/>
                <w:color w:val="000000" w:themeColor="text1"/>
                <w:sz w:val="28"/>
                <w:szCs w:val="28"/>
              </w:rPr>
            </w:pPr>
            <w:r w:rsidRPr="00CA4238">
              <w:rPr>
                <w:rFonts w:eastAsiaTheme="minorHAnsi"/>
                <w:color w:val="000000" w:themeColor="text1"/>
                <w:sz w:val="28"/>
                <w:szCs w:val="28"/>
              </w:rPr>
              <w:t>- Thông tư số 17/2021/TT-BXD ngày 22/12/2021 của Bộ Xây dựng quy định một số nội dung về hoạt động giám định tư pháp trong lĩnh vực xây dựng.</w:t>
            </w:r>
          </w:p>
          <w:p w:rsidR="006E147F" w:rsidRPr="003333C7" w:rsidRDefault="003333C7" w:rsidP="00CA4238">
            <w:pPr>
              <w:pStyle w:val="NormalWeb"/>
              <w:spacing w:before="120" w:beforeAutospacing="0" w:after="120" w:afterAutospacing="0"/>
              <w:ind w:firstLine="567"/>
              <w:jc w:val="both"/>
              <w:textAlignment w:val="baseline"/>
              <w:rPr>
                <w:rFonts w:ascii="Arial" w:hAnsi="Arial" w:cs="Arial"/>
                <w:color w:val="1E2F41"/>
                <w:sz w:val="21"/>
                <w:szCs w:val="21"/>
              </w:rPr>
            </w:pPr>
            <w:r w:rsidRPr="00CA4238">
              <w:rPr>
                <w:rFonts w:eastAsiaTheme="minorHAnsi"/>
                <w:color w:val="000000" w:themeColor="text1"/>
                <w:sz w:val="28"/>
                <w:szCs w:val="28"/>
              </w:rPr>
              <w:t>- Thông tư số 11/2020/TT-BTP ngà</w:t>
            </w:r>
            <w:bookmarkStart w:id="0" w:name="_GoBack"/>
            <w:bookmarkEnd w:id="0"/>
            <w:r w:rsidRPr="00CA4238">
              <w:rPr>
                <w:rFonts w:eastAsiaTheme="minorHAnsi"/>
                <w:color w:val="000000" w:themeColor="text1"/>
                <w:sz w:val="28"/>
                <w:szCs w:val="28"/>
              </w:rPr>
              <w:t>y 31/12/2020 của Bộ Tư pháp quy định về mẫu thẻ, trình tự, thủ tục cấp mới, cấp lại thẻ giám định viên tư pháp</w:t>
            </w:r>
          </w:p>
        </w:tc>
      </w:tr>
    </w:tbl>
    <w:p w:rsidR="007E04AB" w:rsidRDefault="007E04AB"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p w:rsidR="00AC6172" w:rsidRDefault="00AC6172" w:rsidP="00F82337">
      <w:pPr>
        <w:spacing w:line="240" w:lineRule="auto"/>
        <w:rPr>
          <w:color w:val="000000" w:themeColor="text1"/>
          <w:szCs w:val="28"/>
          <w:shd w:val="clear" w:color="auto" w:fill="FFFFFF"/>
        </w:rPr>
      </w:pPr>
    </w:p>
    <w:sectPr w:rsidR="00AC617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D07"/>
    <w:multiLevelType w:val="multilevel"/>
    <w:tmpl w:val="D65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03C8C"/>
    <w:multiLevelType w:val="multilevel"/>
    <w:tmpl w:val="309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D34E2"/>
    <w:multiLevelType w:val="multilevel"/>
    <w:tmpl w:val="F94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60AB8"/>
    <w:multiLevelType w:val="hybridMultilevel"/>
    <w:tmpl w:val="FE46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5F3D23"/>
    <w:multiLevelType w:val="multilevel"/>
    <w:tmpl w:val="5B2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2716C"/>
    <w:multiLevelType w:val="hybridMultilevel"/>
    <w:tmpl w:val="821AA3A0"/>
    <w:lvl w:ilvl="0" w:tplc="B92A11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66"/>
    <w:rsid w:val="001B1CA5"/>
    <w:rsid w:val="001D08BA"/>
    <w:rsid w:val="002A58E9"/>
    <w:rsid w:val="002C4AD2"/>
    <w:rsid w:val="003333C7"/>
    <w:rsid w:val="003A3450"/>
    <w:rsid w:val="004F67C8"/>
    <w:rsid w:val="00585AC7"/>
    <w:rsid w:val="00641635"/>
    <w:rsid w:val="006A35F3"/>
    <w:rsid w:val="006E147F"/>
    <w:rsid w:val="006F68EC"/>
    <w:rsid w:val="00773B65"/>
    <w:rsid w:val="007747B4"/>
    <w:rsid w:val="007A25AE"/>
    <w:rsid w:val="007E04AB"/>
    <w:rsid w:val="007E278C"/>
    <w:rsid w:val="00A86785"/>
    <w:rsid w:val="00AC3148"/>
    <w:rsid w:val="00AC6172"/>
    <w:rsid w:val="00AF5F66"/>
    <w:rsid w:val="00AF7494"/>
    <w:rsid w:val="00B55977"/>
    <w:rsid w:val="00CA4238"/>
    <w:rsid w:val="00CD4A02"/>
    <w:rsid w:val="00CF6D42"/>
    <w:rsid w:val="00CF72C8"/>
    <w:rsid w:val="00D26CD0"/>
    <w:rsid w:val="00E00037"/>
    <w:rsid w:val="00E34F17"/>
    <w:rsid w:val="00E815EF"/>
    <w:rsid w:val="00EF59EA"/>
    <w:rsid w:val="00F629FD"/>
    <w:rsid w:val="00F82337"/>
    <w:rsid w:val="00FF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1080"/>
  <w15:docId w15:val="{11DAE5F6-563F-477C-B14C-A3B0455F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F17"/>
    <w:pPr>
      <w:ind w:left="720"/>
      <w:contextualSpacing/>
    </w:pPr>
  </w:style>
  <w:style w:type="character" w:customStyle="1" w:styleId="fontstyle01">
    <w:name w:val="fontstyle01"/>
    <w:rsid w:val="00D26CD0"/>
    <w:rPr>
      <w:rFonts w:ascii="Times New Roman" w:hAnsi="Times New Roman" w:cs="Times New Roman" w:hint="default"/>
      <w:b w:val="0"/>
      <w:bCs w:val="0"/>
      <w:i/>
      <w:iCs/>
      <w:color w:val="000000"/>
      <w:sz w:val="28"/>
      <w:szCs w:val="28"/>
    </w:rPr>
  </w:style>
  <w:style w:type="character" w:customStyle="1" w:styleId="fontstyle21">
    <w:name w:val="fontstyle21"/>
    <w:rsid w:val="00D26CD0"/>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6E147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958">
      <w:bodyDiv w:val="1"/>
      <w:marLeft w:val="0"/>
      <w:marRight w:val="0"/>
      <w:marTop w:val="0"/>
      <w:marBottom w:val="0"/>
      <w:divBdr>
        <w:top w:val="none" w:sz="0" w:space="0" w:color="auto"/>
        <w:left w:val="none" w:sz="0" w:space="0" w:color="auto"/>
        <w:bottom w:val="none" w:sz="0" w:space="0" w:color="auto"/>
        <w:right w:val="none" w:sz="0" w:space="0" w:color="auto"/>
      </w:divBdr>
    </w:div>
    <w:div w:id="13197305">
      <w:bodyDiv w:val="1"/>
      <w:marLeft w:val="0"/>
      <w:marRight w:val="0"/>
      <w:marTop w:val="0"/>
      <w:marBottom w:val="0"/>
      <w:divBdr>
        <w:top w:val="none" w:sz="0" w:space="0" w:color="auto"/>
        <w:left w:val="none" w:sz="0" w:space="0" w:color="auto"/>
        <w:bottom w:val="none" w:sz="0" w:space="0" w:color="auto"/>
        <w:right w:val="none" w:sz="0" w:space="0" w:color="auto"/>
      </w:divBdr>
    </w:div>
    <w:div w:id="996031559">
      <w:bodyDiv w:val="1"/>
      <w:marLeft w:val="0"/>
      <w:marRight w:val="0"/>
      <w:marTop w:val="0"/>
      <w:marBottom w:val="0"/>
      <w:divBdr>
        <w:top w:val="none" w:sz="0" w:space="0" w:color="auto"/>
        <w:left w:val="none" w:sz="0" w:space="0" w:color="auto"/>
        <w:bottom w:val="none" w:sz="0" w:space="0" w:color="auto"/>
        <w:right w:val="none" w:sz="0" w:space="0" w:color="auto"/>
      </w:divBdr>
    </w:div>
    <w:div w:id="1280600132">
      <w:bodyDiv w:val="1"/>
      <w:marLeft w:val="0"/>
      <w:marRight w:val="0"/>
      <w:marTop w:val="0"/>
      <w:marBottom w:val="0"/>
      <w:divBdr>
        <w:top w:val="none" w:sz="0" w:space="0" w:color="auto"/>
        <w:left w:val="none" w:sz="0" w:space="0" w:color="auto"/>
        <w:bottom w:val="none" w:sz="0" w:space="0" w:color="auto"/>
        <w:right w:val="none" w:sz="0" w:space="0" w:color="auto"/>
      </w:divBdr>
    </w:div>
    <w:div w:id="1670140050">
      <w:bodyDiv w:val="1"/>
      <w:marLeft w:val="0"/>
      <w:marRight w:val="0"/>
      <w:marTop w:val="0"/>
      <w:marBottom w:val="0"/>
      <w:divBdr>
        <w:top w:val="none" w:sz="0" w:space="0" w:color="auto"/>
        <w:left w:val="none" w:sz="0" w:space="0" w:color="auto"/>
        <w:bottom w:val="none" w:sz="0" w:space="0" w:color="auto"/>
        <w:right w:val="none" w:sz="0" w:space="0" w:color="auto"/>
      </w:divBdr>
    </w:div>
    <w:div w:id="1858428002">
      <w:bodyDiv w:val="1"/>
      <w:marLeft w:val="0"/>
      <w:marRight w:val="0"/>
      <w:marTop w:val="0"/>
      <w:marBottom w:val="0"/>
      <w:divBdr>
        <w:top w:val="none" w:sz="0" w:space="0" w:color="auto"/>
        <w:left w:val="none" w:sz="0" w:space="0" w:color="auto"/>
        <w:bottom w:val="none" w:sz="0" w:space="0" w:color="auto"/>
        <w:right w:val="none" w:sz="0" w:space="0" w:color="auto"/>
      </w:divBdr>
    </w:div>
    <w:div w:id="20651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29D5F-0DA7-420B-A341-8006AF76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2025-05-26T15:00:00Z</dcterms:created>
  <dcterms:modified xsi:type="dcterms:W3CDTF">2025-06-07T15:26:00Z</dcterms:modified>
</cp:coreProperties>
</file>