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786" w:rsidRPr="00B53720" w:rsidRDefault="00B53720" w:rsidP="00B53720">
      <w:pPr>
        <w:widowControl w:val="0"/>
        <w:autoSpaceDE w:val="0"/>
        <w:autoSpaceDN w:val="0"/>
        <w:adjustRightInd w:val="0"/>
        <w:spacing w:before="120" w:after="120"/>
        <w:ind w:firstLine="720"/>
        <w:jc w:val="both"/>
        <w:rPr>
          <w:rFonts w:asciiTheme="majorHAnsi" w:hAnsiTheme="majorHAnsi" w:cstheme="majorHAnsi"/>
          <w:b/>
          <w:bCs/>
          <w:sz w:val="28"/>
          <w:szCs w:val="28"/>
        </w:rPr>
      </w:pPr>
      <w:bookmarkStart w:id="0" w:name="dieu_2_1"/>
      <w:r w:rsidRPr="00B53720">
        <w:rPr>
          <w:rFonts w:asciiTheme="majorHAnsi" w:hAnsiTheme="majorHAnsi" w:cstheme="majorHAnsi"/>
          <w:b/>
          <w:bCs/>
          <w:sz w:val="28"/>
          <w:szCs w:val="28"/>
        </w:rPr>
        <w:t>Thủ tục hành chính:</w:t>
      </w:r>
      <w:r w:rsidR="00777786" w:rsidRPr="00B53720">
        <w:rPr>
          <w:rFonts w:asciiTheme="majorHAnsi" w:hAnsiTheme="majorHAnsi" w:cstheme="majorHAnsi"/>
          <w:b/>
          <w:bCs/>
          <w:sz w:val="28"/>
          <w:szCs w:val="28"/>
        </w:rPr>
        <w:t xml:space="preserve"> Chấp thuận bổ sung vị trí nút giao đấu nối vào đường cao tốc</w:t>
      </w:r>
      <w:bookmarkEnd w:id="0"/>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b/>
          <w:bCs/>
          <w:sz w:val="28"/>
          <w:szCs w:val="28"/>
        </w:rPr>
        <w:t>Mã TTHC: 1.003276.000.00.00.H35</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b/>
          <w:bCs/>
          <w:sz w:val="28"/>
          <w:szCs w:val="28"/>
        </w:rPr>
        <w:t>1. Trình tự thực hiện:</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a) Nộp hồ sơ TTHC:</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 xml:space="preserve">Cơ quan, tổ chức đề nghị đấu nối vào đường cao tốc nộp bộ hồ sơ đề nghị đến </w:t>
      </w:r>
      <w:r w:rsidR="00B53720">
        <w:rPr>
          <w:rFonts w:asciiTheme="majorHAnsi" w:hAnsiTheme="majorHAnsi" w:cstheme="majorHAnsi"/>
          <w:sz w:val="28"/>
          <w:szCs w:val="28"/>
        </w:rPr>
        <w:t>Bộ Xây dựng</w:t>
      </w:r>
      <w:r w:rsidRPr="00B53720">
        <w:rPr>
          <w:rFonts w:asciiTheme="majorHAnsi" w:hAnsiTheme="majorHAnsi" w:cstheme="majorHAnsi"/>
          <w:sz w:val="28"/>
          <w:szCs w:val="28"/>
        </w:rPr>
        <w:t>, Ủy ban nhân dân cấp tỉnh chấp thuận bổ sung vị trí đấu nối với đường cao tốc thuộc phạm vi quản lý.</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b) Giải quyết TTHC:</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Cơ quan có thẩm quyền giải quyết thủ tục hành chính thực hiện tiếp nhận, kiểm tra hồ sơ và xử lý như sau:</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Đối với trường hợp nộp gián tiếp, trong phạm vi 02 ngày làm việc kể từ ngày nhận được hồ sơ, kiểm tra thành phần hồ sơ, nếu không đủ thành phần hồ sơ có văn bản thông báo đến tổ chức, cá nhân để bổ sung, hoàn thiện;</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 xml:space="preserve">Trường hợp phải lấy ý kiến của các cơ quan thì sau 02 ngày làm việc kể từ ngày nhận đủ thành phần hồ sơ, cơ quan có thẩm quyền giải quyết thủ tục hành chính tiến hành lấy ý kiến. Cơ quan, tổ chức được lấy ý kiến có trách nhiệm trả lời </w:t>
      </w:r>
      <w:r w:rsidR="00B53720">
        <w:rPr>
          <w:rFonts w:asciiTheme="majorHAnsi" w:hAnsiTheme="majorHAnsi" w:cstheme="majorHAnsi"/>
          <w:sz w:val="28"/>
          <w:szCs w:val="28"/>
        </w:rPr>
        <w:t>Bộ Xây dựng</w:t>
      </w:r>
      <w:r w:rsidRPr="00B53720">
        <w:rPr>
          <w:rFonts w:asciiTheme="majorHAnsi" w:hAnsiTheme="majorHAnsi" w:cstheme="majorHAnsi"/>
          <w:sz w:val="28"/>
          <w:szCs w:val="28"/>
        </w:rPr>
        <w:t xml:space="preserve"> hoặc Ủy ban nhân dân cấp tỉnh trong thời hạn không quá 07 ngày làm việc, kể từ ngày nhận được đề nghị của cơ quan có thẩm quyền.</w:t>
      </w:r>
    </w:p>
    <w:p w:rsidR="00777786" w:rsidRPr="00B53720" w:rsidRDefault="00B53720" w:rsidP="00B53720">
      <w:pPr>
        <w:widowControl w:val="0"/>
        <w:autoSpaceDE w:val="0"/>
        <w:autoSpaceDN w:val="0"/>
        <w:adjustRightInd w:val="0"/>
        <w:spacing w:before="120" w:after="120"/>
        <w:ind w:firstLine="720"/>
        <w:jc w:val="both"/>
        <w:rPr>
          <w:rFonts w:asciiTheme="majorHAnsi" w:hAnsiTheme="majorHAnsi" w:cstheme="majorHAnsi"/>
          <w:sz w:val="28"/>
          <w:szCs w:val="28"/>
        </w:rPr>
      </w:pPr>
      <w:r>
        <w:rPr>
          <w:rFonts w:asciiTheme="majorHAnsi" w:hAnsiTheme="majorHAnsi" w:cstheme="majorHAnsi"/>
          <w:sz w:val="28"/>
          <w:szCs w:val="28"/>
        </w:rPr>
        <w:t xml:space="preserve">- Trong thời hạn không quá </w:t>
      </w:r>
      <w:r w:rsidR="00777786" w:rsidRPr="00B53720">
        <w:rPr>
          <w:rFonts w:asciiTheme="majorHAnsi" w:hAnsiTheme="majorHAnsi" w:cstheme="majorHAnsi"/>
          <w:sz w:val="28"/>
          <w:szCs w:val="28"/>
        </w:rPr>
        <w:t>7 ngày làm việc kể từ khi nhận được hồ sơ đề nghị hoặc 7 ngày sau khi nhận được ý kiến của các cơ quan (đối với trường hợp phải lấy ý kiến), cơ quan có thẩm quyền giải quyết thủ tục hành chính tiến hành kiểm tra nếu đủ điều kiện thì có văn bản chấp thuận nút giao đấu nối vào đường bộ. Trường hợp không chấp thuận thì phải có văn bản trả lời và nêu rõ lý do.</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b/>
          <w:bCs/>
          <w:sz w:val="28"/>
          <w:szCs w:val="28"/>
        </w:rPr>
        <w:t>2. Cách thức thực hiện:</w:t>
      </w:r>
      <w:r w:rsidR="00B53720">
        <w:rPr>
          <w:rFonts w:asciiTheme="majorHAnsi" w:hAnsiTheme="majorHAnsi" w:cstheme="majorHAnsi"/>
          <w:sz w:val="28"/>
          <w:szCs w:val="28"/>
        </w:rPr>
        <w:t xml:space="preserve"> </w:t>
      </w:r>
      <w:r w:rsidRPr="00B53720">
        <w:rPr>
          <w:rFonts w:asciiTheme="majorHAnsi" w:hAnsiTheme="majorHAnsi" w:cstheme="majorHAnsi"/>
          <w:sz w:val="28"/>
          <w:szCs w:val="28"/>
        </w:rPr>
        <w:t>Nộp trực tiếp, thông qua dịch vụ bưu chính hoặc trực tuyến tại cổng dịch vụ công.</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b/>
          <w:bCs/>
          <w:sz w:val="28"/>
          <w:szCs w:val="28"/>
        </w:rPr>
        <w:t>3. Thành phần, số lượng hồ sơ:</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a) Thành phần hồ sơ:</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 xml:space="preserve">- </w:t>
      </w:r>
      <w:bookmarkStart w:id="1" w:name="bieumau_ms_01_pl6_165_2024_nd_cp_1"/>
      <w:r w:rsidRPr="00B53720">
        <w:rPr>
          <w:rFonts w:asciiTheme="majorHAnsi" w:hAnsiTheme="majorHAnsi" w:cstheme="majorHAnsi"/>
          <w:sz w:val="28"/>
          <w:szCs w:val="28"/>
        </w:rPr>
        <w:t>Văn bản đề nghị đấu nối vào đường cao tốc (bản chính) theo mẫu</w:t>
      </w:r>
      <w:bookmarkEnd w:id="1"/>
      <w:r w:rsidRPr="00B53720">
        <w:rPr>
          <w:rFonts w:asciiTheme="majorHAnsi" w:hAnsiTheme="majorHAnsi" w:cstheme="majorHAnsi"/>
          <w:sz w:val="28"/>
          <w:szCs w:val="28"/>
        </w:rPr>
        <w:t>;</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 Bản chính hoặc bản sao có chứng thực: chủ trương đầu tư nút giao đấu nối đường khác vào đường cao tốc, thiết kế nút giao đấu nối vào đường cao tốc (nếu có).</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b) Số lượng hồ sơ: 01 bộ.</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b/>
          <w:bCs/>
          <w:sz w:val="28"/>
          <w:szCs w:val="28"/>
        </w:rPr>
        <w:t>4. Thời hạn giải quyết:</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 xml:space="preserve">- Trường hợp không phải lấy ý kiến: 07 ngày làm việc kể từ khi nhận </w:t>
      </w:r>
      <w:r w:rsidRPr="00B53720">
        <w:rPr>
          <w:rFonts w:asciiTheme="majorHAnsi" w:hAnsiTheme="majorHAnsi" w:cstheme="majorHAnsi"/>
          <w:sz w:val="28"/>
          <w:szCs w:val="28"/>
        </w:rPr>
        <w:lastRenderedPageBreak/>
        <w:t>được hồ sơ đúng quy định.</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 Trường hợp phải lấy ý kiến:</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 Thời hạn tiến hành lấy ý kiến: 02 ngày làm việc kể từ ngày nhận đủ thành phần hồ sơ;</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 Thời hạn cơ quan, tổ chức được lấy ý kiến trả lời: 07 ngày làm việc, kể từ ngày nhận được đề nghị của cơ quan có thẩm quyền.</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 Thời hạn có văn bản chấp thuận: 07 ngày sau khi nhận được ý kiến của các cơ quan.</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b/>
          <w:bCs/>
          <w:sz w:val="28"/>
          <w:szCs w:val="28"/>
        </w:rPr>
        <w:t xml:space="preserve">5. Đối tượng thực hiện TTHC: </w:t>
      </w:r>
      <w:r w:rsidRPr="00B53720">
        <w:rPr>
          <w:rFonts w:asciiTheme="majorHAnsi" w:hAnsiTheme="majorHAnsi" w:cstheme="majorHAnsi"/>
          <w:sz w:val="28"/>
          <w:szCs w:val="28"/>
        </w:rPr>
        <w:t>Tổ chức.</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b/>
          <w:bCs/>
          <w:sz w:val="28"/>
          <w:szCs w:val="28"/>
        </w:rPr>
        <w:t>6. Cơ quan thực hiện TTHC:</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 Cơ quan có thẩm quyền giải quyết: Ủy ban nhân dân cấp tỉnh;</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 xml:space="preserve">- Cơ quan trực tiếp thực hiện thủ tục hành chính: </w:t>
      </w:r>
      <w:r w:rsidR="00B53720">
        <w:rPr>
          <w:rFonts w:asciiTheme="majorHAnsi" w:hAnsiTheme="majorHAnsi" w:cstheme="majorHAnsi"/>
          <w:sz w:val="28"/>
          <w:szCs w:val="28"/>
        </w:rPr>
        <w:t>Ủy ban nhân dân cấp tỉnh.</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 xml:space="preserve">- Cơ quan phối hợp: Cơ quan, tổ chức có liên quan (đối </w:t>
      </w:r>
      <w:r w:rsidR="00B53720">
        <w:rPr>
          <w:rFonts w:asciiTheme="majorHAnsi" w:hAnsiTheme="majorHAnsi" w:cstheme="majorHAnsi"/>
          <w:sz w:val="28"/>
          <w:szCs w:val="28"/>
        </w:rPr>
        <w:t>với trường hợp phải lấy ý kiến).</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b/>
          <w:bCs/>
          <w:sz w:val="28"/>
          <w:szCs w:val="28"/>
        </w:rPr>
        <w:t>7. Kết quả của việc thực hiện TTHC:</w:t>
      </w:r>
      <w:r w:rsidR="00B53720">
        <w:rPr>
          <w:rFonts w:asciiTheme="majorHAnsi" w:hAnsiTheme="majorHAnsi" w:cstheme="majorHAnsi"/>
          <w:sz w:val="28"/>
          <w:szCs w:val="28"/>
        </w:rPr>
        <w:t xml:space="preserve"> </w:t>
      </w:r>
      <w:r w:rsidRPr="00B53720">
        <w:rPr>
          <w:rFonts w:asciiTheme="majorHAnsi" w:hAnsiTheme="majorHAnsi" w:cstheme="majorHAnsi"/>
          <w:sz w:val="28"/>
          <w:szCs w:val="28"/>
        </w:rPr>
        <w:t>Văn bản chấp thuận vị trí nút giao đấu nối.</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b/>
          <w:bCs/>
          <w:sz w:val="28"/>
          <w:szCs w:val="28"/>
        </w:rPr>
        <w:t xml:space="preserve">8. Phí, lệ phí: </w:t>
      </w:r>
      <w:r w:rsidRPr="00B53720">
        <w:rPr>
          <w:rFonts w:asciiTheme="majorHAnsi" w:hAnsiTheme="majorHAnsi" w:cstheme="majorHAnsi"/>
          <w:sz w:val="28"/>
          <w:szCs w:val="28"/>
        </w:rPr>
        <w:t>Không có.</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b/>
          <w:bCs/>
          <w:sz w:val="28"/>
          <w:szCs w:val="28"/>
        </w:rPr>
      </w:pPr>
      <w:r w:rsidRPr="00B53720">
        <w:rPr>
          <w:rFonts w:asciiTheme="majorHAnsi" w:hAnsiTheme="majorHAnsi" w:cstheme="majorHAnsi"/>
          <w:b/>
          <w:bCs/>
          <w:sz w:val="28"/>
          <w:szCs w:val="28"/>
        </w:rPr>
        <w:t>9. Tên mẫu đơn, mẫu tờ khai hành chính</w:t>
      </w:r>
      <w:bookmarkStart w:id="2" w:name="bieumau_ms_01_pl6_165_2024_nd_cp"/>
      <w:r w:rsidR="00B53720">
        <w:rPr>
          <w:rFonts w:asciiTheme="majorHAnsi" w:hAnsiTheme="majorHAnsi" w:cstheme="majorHAnsi"/>
          <w:b/>
          <w:bCs/>
          <w:sz w:val="28"/>
          <w:szCs w:val="28"/>
        </w:rPr>
        <w:t xml:space="preserve">: </w:t>
      </w:r>
      <w:r w:rsidRPr="00B53720">
        <w:rPr>
          <w:rFonts w:asciiTheme="majorHAnsi" w:hAnsiTheme="majorHAnsi" w:cstheme="majorHAnsi"/>
          <w:sz w:val="28"/>
          <w:szCs w:val="28"/>
        </w:rPr>
        <w:t>Văn bản đề nghị chấp thuận vị trí đấu nối</w:t>
      </w:r>
      <w:bookmarkEnd w:id="2"/>
      <w:r w:rsidR="00B53720">
        <w:rPr>
          <w:rFonts w:asciiTheme="majorHAnsi" w:hAnsiTheme="majorHAnsi" w:cstheme="majorHAnsi"/>
          <w:sz w:val="28"/>
          <w:szCs w:val="28"/>
        </w:rPr>
        <w:t>.</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b/>
          <w:bCs/>
          <w:sz w:val="28"/>
          <w:szCs w:val="28"/>
        </w:rPr>
        <w:t>10. Yêu cầu, điều kiện thực hiện TTHC:</w:t>
      </w:r>
      <w:r w:rsidR="00B53720">
        <w:rPr>
          <w:rFonts w:asciiTheme="majorHAnsi" w:hAnsiTheme="majorHAnsi" w:cstheme="majorHAnsi"/>
          <w:sz w:val="28"/>
          <w:szCs w:val="28"/>
        </w:rPr>
        <w:t xml:space="preserve"> </w:t>
      </w:r>
      <w:r w:rsidRPr="00B53720">
        <w:rPr>
          <w:rFonts w:asciiTheme="majorHAnsi" w:hAnsiTheme="majorHAnsi" w:cstheme="majorHAnsi"/>
          <w:sz w:val="28"/>
          <w:szCs w:val="28"/>
        </w:rPr>
        <w:t>Đáp ứng điều kiện quy định tại khoản 1, khoản 2, khoản 6 và khoản 7 Điều 28 Nghị định số 165/2024/NĐ-CP ngày 26/12/2024 của Chính phủ quy định chi tiết, hướng dẫn thi hành một số điều của Luật Đường bộ và Điều 77 Luật Trật tự, an toàn giao thông đường bộ.</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b/>
          <w:bCs/>
          <w:sz w:val="28"/>
          <w:szCs w:val="28"/>
        </w:rPr>
        <w:t>11. Căn cứ pháp lý của TTHC:</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rPr>
      </w:pPr>
      <w:r w:rsidRPr="00B53720">
        <w:rPr>
          <w:rFonts w:asciiTheme="majorHAnsi" w:hAnsiTheme="majorHAnsi" w:cstheme="majorHAnsi"/>
          <w:sz w:val="28"/>
          <w:szCs w:val="28"/>
        </w:rPr>
        <w:t>- Nghị định số 165/2024/NĐ-CP ngày 26/12/2024 của Chính phủ quy định chi tiết, hướng dẫn thi hành một số điều của Luật Đường bộ và Điều 77 Luật Trật tự, an toàn giao thông đường bộ.</w:t>
      </w:r>
    </w:p>
    <w:p w:rsidR="00777786"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p>
    <w:p w:rsidR="00B53720" w:rsidRDefault="00B53720"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p>
    <w:p w:rsidR="00B53720" w:rsidRDefault="00B53720"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p>
    <w:p w:rsidR="00B53720" w:rsidRDefault="00B53720"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p>
    <w:p w:rsidR="00B53720" w:rsidRDefault="00B53720"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p>
    <w:p w:rsidR="00B53720" w:rsidRDefault="00B53720"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p>
    <w:p w:rsidR="00B53720" w:rsidRDefault="00B53720"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p>
    <w:p w:rsidR="00B53720" w:rsidRPr="00B53720" w:rsidRDefault="00B53720"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r w:rsidRPr="00B53720">
        <w:rPr>
          <w:rFonts w:asciiTheme="majorHAnsi" w:hAnsiTheme="majorHAnsi" w:cstheme="majorHAnsi"/>
          <w:b/>
          <w:bCs/>
          <w:sz w:val="28"/>
          <w:szCs w:val="28"/>
          <w:lang w:val="vi-VN"/>
        </w:rPr>
        <w:lastRenderedPageBreak/>
        <w:t>Mẫu văn bản đề nghị chấp thuận vị trí đấu nối</w:t>
      </w:r>
    </w:p>
    <w:tbl>
      <w:tblPr>
        <w:tblW w:w="5324" w:type="pct"/>
        <w:tblLook w:val="01E0" w:firstRow="1" w:lastRow="1" w:firstColumn="1" w:lastColumn="1" w:noHBand="0" w:noVBand="0"/>
      </w:tblPr>
      <w:tblGrid>
        <w:gridCol w:w="3511"/>
        <w:gridCol w:w="6378"/>
      </w:tblGrid>
      <w:tr w:rsidR="00777786" w:rsidRPr="00B53720" w:rsidTr="00B53720">
        <w:tc>
          <w:tcPr>
            <w:tcW w:w="1775" w:type="pct"/>
            <w:shd w:val="clear" w:color="auto" w:fill="auto"/>
          </w:tcPr>
          <w:p w:rsidR="00777786" w:rsidRPr="00B53720" w:rsidRDefault="00777786" w:rsidP="00B53720">
            <w:pPr>
              <w:widowControl w:val="0"/>
              <w:spacing w:before="120" w:after="120"/>
              <w:jc w:val="center"/>
              <w:rPr>
                <w:rFonts w:asciiTheme="majorHAnsi" w:eastAsia="Tahoma" w:hAnsiTheme="majorHAnsi" w:cstheme="majorHAnsi"/>
                <w:b/>
                <w:sz w:val="28"/>
                <w:szCs w:val="28"/>
                <w:lang w:val="vi-VN"/>
              </w:rPr>
            </w:pPr>
            <w:r w:rsidRPr="00B53720">
              <w:rPr>
                <w:rFonts w:asciiTheme="majorHAnsi" w:eastAsia="Tahoma" w:hAnsiTheme="majorHAnsi" w:cstheme="majorHAnsi"/>
                <w:sz w:val="28"/>
                <w:szCs w:val="28"/>
                <w:lang w:val="vi-VN"/>
              </w:rPr>
              <w:t>….(ghi tên cơ quan đề nghị….)</w:t>
            </w:r>
            <w:r w:rsidRPr="00B53720">
              <w:rPr>
                <w:rFonts w:asciiTheme="majorHAnsi" w:eastAsia="Tahoma" w:hAnsiTheme="majorHAnsi" w:cstheme="majorHAnsi"/>
                <w:b/>
                <w:sz w:val="28"/>
                <w:szCs w:val="28"/>
                <w:lang w:val="vi-VN"/>
              </w:rPr>
              <w:br/>
              <w:t>-------</w:t>
            </w:r>
          </w:p>
        </w:tc>
        <w:tc>
          <w:tcPr>
            <w:tcW w:w="3225" w:type="pct"/>
            <w:shd w:val="clear" w:color="auto" w:fill="auto"/>
          </w:tcPr>
          <w:p w:rsidR="00777786" w:rsidRPr="00B53720" w:rsidRDefault="00777786" w:rsidP="00B53720">
            <w:pPr>
              <w:widowControl w:val="0"/>
              <w:spacing w:before="120" w:after="120"/>
              <w:ind w:hanging="108"/>
              <w:jc w:val="center"/>
              <w:rPr>
                <w:rFonts w:asciiTheme="majorHAnsi" w:eastAsia="Tahoma" w:hAnsiTheme="majorHAnsi" w:cstheme="majorHAnsi"/>
                <w:b/>
                <w:sz w:val="28"/>
                <w:szCs w:val="28"/>
                <w:lang w:val="vi-VN"/>
              </w:rPr>
            </w:pPr>
            <w:r w:rsidRPr="00B53720">
              <w:rPr>
                <w:rFonts w:asciiTheme="majorHAnsi" w:eastAsia="Tahoma" w:hAnsiTheme="majorHAnsi" w:cstheme="majorHAnsi"/>
                <w:b/>
                <w:sz w:val="28"/>
                <w:szCs w:val="28"/>
                <w:lang w:val="vi-VN"/>
              </w:rPr>
              <w:t>CỘNG HÒA XÃ HỘI CHỦ NGHĨA VIỆT NAM</w:t>
            </w:r>
            <w:r w:rsidRPr="00B53720">
              <w:rPr>
                <w:rFonts w:asciiTheme="majorHAnsi" w:eastAsia="Tahoma" w:hAnsiTheme="majorHAnsi" w:cstheme="majorHAnsi"/>
                <w:b/>
                <w:sz w:val="28"/>
                <w:szCs w:val="28"/>
                <w:lang w:val="vi-VN"/>
              </w:rPr>
              <w:br/>
              <w:t xml:space="preserve">Độc lập - Tự do - Hạnh phúc </w:t>
            </w:r>
            <w:r w:rsidRPr="00B53720">
              <w:rPr>
                <w:rFonts w:asciiTheme="majorHAnsi" w:eastAsia="Tahoma" w:hAnsiTheme="majorHAnsi" w:cstheme="majorHAnsi"/>
                <w:b/>
                <w:sz w:val="28"/>
                <w:szCs w:val="28"/>
                <w:lang w:val="vi-VN"/>
              </w:rPr>
              <w:br/>
              <w:t>---------------</w:t>
            </w:r>
          </w:p>
        </w:tc>
      </w:tr>
      <w:tr w:rsidR="00777786" w:rsidRPr="00B53720" w:rsidTr="00B53720">
        <w:tc>
          <w:tcPr>
            <w:tcW w:w="1775" w:type="pct"/>
            <w:shd w:val="clear" w:color="auto" w:fill="auto"/>
          </w:tcPr>
          <w:p w:rsidR="00777786" w:rsidRPr="00B53720" w:rsidRDefault="00777786" w:rsidP="00B53720">
            <w:pPr>
              <w:widowControl w:val="0"/>
              <w:spacing w:before="120" w:after="120"/>
              <w:ind w:firstLine="720"/>
              <w:jc w:val="both"/>
              <w:rPr>
                <w:rFonts w:asciiTheme="majorHAnsi" w:eastAsia="Tahoma" w:hAnsiTheme="majorHAnsi" w:cstheme="majorHAnsi"/>
                <w:sz w:val="28"/>
                <w:szCs w:val="28"/>
                <w:lang w:val="vi-VN"/>
              </w:rPr>
            </w:pPr>
            <w:r w:rsidRPr="00B53720">
              <w:rPr>
                <w:rFonts w:asciiTheme="majorHAnsi" w:eastAsia="Tahoma" w:hAnsiTheme="majorHAnsi" w:cstheme="majorHAnsi"/>
                <w:sz w:val="28"/>
                <w:szCs w:val="28"/>
                <w:lang w:val="vi-VN"/>
              </w:rPr>
              <w:t>Số: …/…</w:t>
            </w:r>
            <w:r w:rsidRPr="00B53720">
              <w:rPr>
                <w:rFonts w:asciiTheme="majorHAnsi" w:eastAsia="Tahoma" w:hAnsiTheme="majorHAnsi" w:cstheme="majorHAnsi"/>
                <w:sz w:val="28"/>
                <w:szCs w:val="28"/>
                <w:lang w:val="vi-VN"/>
              </w:rPr>
              <w:br/>
              <w:t>Về việc đề nghị đấu nối vào Km … đường cao tốc/đường…, địa phận (ghi tỉnh, thành phố)</w:t>
            </w:r>
          </w:p>
        </w:tc>
        <w:tc>
          <w:tcPr>
            <w:tcW w:w="3225" w:type="pct"/>
            <w:shd w:val="clear" w:color="auto" w:fill="auto"/>
          </w:tcPr>
          <w:p w:rsidR="00777786" w:rsidRPr="00B53720" w:rsidRDefault="00777786" w:rsidP="00B53720">
            <w:pPr>
              <w:widowControl w:val="0"/>
              <w:spacing w:before="120" w:after="120"/>
              <w:ind w:firstLine="720"/>
              <w:jc w:val="both"/>
              <w:rPr>
                <w:rFonts w:asciiTheme="majorHAnsi" w:eastAsia="Tahoma" w:hAnsiTheme="majorHAnsi" w:cstheme="majorHAnsi"/>
                <w:i/>
                <w:sz w:val="28"/>
                <w:szCs w:val="28"/>
                <w:lang w:val="vi-VN"/>
              </w:rPr>
            </w:pPr>
            <w:r w:rsidRPr="00B53720">
              <w:rPr>
                <w:rFonts w:asciiTheme="majorHAnsi" w:eastAsia="Tahoma" w:hAnsiTheme="majorHAnsi" w:cstheme="majorHAnsi"/>
                <w:i/>
                <w:iCs/>
                <w:sz w:val="28"/>
                <w:szCs w:val="28"/>
                <w:lang w:val="vi-VN"/>
              </w:rPr>
              <w:t>Tên địa phương, ngày … tháng …. năm ….</w:t>
            </w:r>
          </w:p>
        </w:tc>
      </w:tr>
    </w:tbl>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r w:rsidRPr="00B53720">
        <w:rPr>
          <w:rFonts w:asciiTheme="majorHAnsi" w:hAnsiTheme="majorHAnsi" w:cstheme="majorHAnsi"/>
          <w:sz w:val="28"/>
          <w:szCs w:val="28"/>
          <w:lang w:val="vi-VN"/>
        </w:rPr>
        <w:t>Kính gửi: …………….(ghi cơ quan chấp thuận).</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r w:rsidRPr="00B53720">
        <w:rPr>
          <w:rFonts w:asciiTheme="majorHAnsi" w:hAnsiTheme="majorHAnsi" w:cstheme="majorHAnsi"/>
          <w:i/>
          <w:iCs/>
          <w:sz w:val="28"/>
          <w:szCs w:val="28"/>
          <w:lang w:val="vi-VN"/>
        </w:rPr>
        <w:t>Căn cứ Luật Đường bộ ngày 27 tháng 6 năm 2024;</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r w:rsidRPr="00B53720">
        <w:rPr>
          <w:rFonts w:asciiTheme="majorHAnsi" w:hAnsiTheme="majorHAnsi" w:cstheme="majorHAnsi"/>
          <w:i/>
          <w:iCs/>
          <w:sz w:val="28"/>
          <w:szCs w:val="28"/>
          <w:lang w:val="vi-VN"/>
        </w:rPr>
        <w:t>Căn cứ Nghị định số 165/2024/NĐ-CP ngày 26 tháng 12 năm 2024 của Chính phủ quy định chi tiết, hướng dẫn thi hành một số điều của Luật Đường bộ và Điều 77 Luật Trật tự, an toàn giao thông đường bộ;</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r w:rsidRPr="00B53720">
        <w:rPr>
          <w:rFonts w:asciiTheme="majorHAnsi" w:hAnsiTheme="majorHAnsi" w:cstheme="majorHAnsi"/>
          <w:sz w:val="28"/>
          <w:szCs w:val="28"/>
          <w:lang w:val="vi-VN"/>
        </w:rPr>
        <w:t>.... (Ghi tên cơ quan, tổ chức đề nghị) đề nghị được đấu nối vào vị trí Km .... tuyến đường .... để thực hiện .... (nêu rõ lý do để thực hiện quy hoạch, kế hoạch phát triển giao thông, phát triển kinh tế - xã hội, bảo đảm quốc phòng, an ninh và/hoặc mục đích khác...).</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r w:rsidRPr="00B53720">
        <w:rPr>
          <w:rFonts w:asciiTheme="majorHAnsi" w:hAnsiTheme="majorHAnsi" w:cstheme="majorHAnsi"/>
          <w:sz w:val="28"/>
          <w:szCs w:val="28"/>
          <w:lang w:val="vi-VN"/>
        </w:rPr>
        <w:t>Tài liệu kèm theo là một, một số hoặc toàn bộ các tài liệu (nếu có): Quyết định duyệt quy hoạch, chủ trương đầu tư nút giao đấu nối vào đường cao tốc/ đường..., thiết kế nút giao đấu nối vào đường cao tốc/ đường... và các tài liệu khác liên quan đến nút giao đấu nối.</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r w:rsidRPr="00B53720">
        <w:rPr>
          <w:rFonts w:asciiTheme="majorHAnsi" w:hAnsiTheme="majorHAnsi" w:cstheme="majorHAnsi"/>
          <w:sz w:val="28"/>
          <w:szCs w:val="28"/>
          <w:lang w:val="vi-VN"/>
        </w:rPr>
        <w:t>Số lượng bộ hồ sơ: 01 bộ.</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r w:rsidRPr="00B53720">
        <w:rPr>
          <w:rFonts w:asciiTheme="majorHAnsi" w:hAnsiTheme="majorHAnsi" w:cstheme="majorHAnsi"/>
          <w:sz w:val="28"/>
          <w:szCs w:val="28"/>
          <w:lang w:val="vi-VN"/>
        </w:rPr>
        <w:t>Địa chỉ liên hệ: …………………… Số điện thoại: …………………..</w:t>
      </w:r>
    </w:p>
    <w:p w:rsidR="00777786" w:rsidRPr="00B53720" w:rsidRDefault="00777786" w:rsidP="00B53720">
      <w:pPr>
        <w:widowControl w:val="0"/>
        <w:autoSpaceDE w:val="0"/>
        <w:autoSpaceDN w:val="0"/>
        <w:adjustRightInd w:val="0"/>
        <w:spacing w:before="120" w:after="120"/>
        <w:ind w:firstLine="720"/>
        <w:jc w:val="both"/>
        <w:rPr>
          <w:rFonts w:asciiTheme="majorHAnsi" w:hAnsiTheme="majorHAnsi" w:cstheme="majorHAnsi"/>
          <w:b/>
          <w:bCs/>
          <w:i/>
          <w:iCs/>
          <w:sz w:val="28"/>
          <w:szCs w:val="28"/>
          <w:lang w:val="vi-VN"/>
        </w:rPr>
      </w:pPr>
    </w:p>
    <w:tbl>
      <w:tblPr>
        <w:tblW w:w="0" w:type="auto"/>
        <w:tblLook w:val="01E0" w:firstRow="1" w:lastRow="1" w:firstColumn="1" w:lastColumn="1" w:noHBand="0" w:noVBand="0"/>
      </w:tblPr>
      <w:tblGrid>
        <w:gridCol w:w="3468"/>
        <w:gridCol w:w="5712"/>
      </w:tblGrid>
      <w:tr w:rsidR="00777786" w:rsidRPr="00B53720" w:rsidTr="00B53720">
        <w:tc>
          <w:tcPr>
            <w:tcW w:w="3468" w:type="dxa"/>
            <w:shd w:val="clear" w:color="auto" w:fill="auto"/>
          </w:tcPr>
          <w:p w:rsidR="00777786" w:rsidRPr="00B53720" w:rsidRDefault="00777786" w:rsidP="00B53720">
            <w:pPr>
              <w:widowControl w:val="0"/>
              <w:spacing w:before="120" w:after="120"/>
              <w:rPr>
                <w:rFonts w:asciiTheme="majorHAnsi" w:eastAsia="Tahoma" w:hAnsiTheme="majorHAnsi" w:cstheme="majorHAnsi"/>
                <w:sz w:val="28"/>
                <w:szCs w:val="28"/>
                <w:lang w:val="vi-VN"/>
              </w:rPr>
            </w:pPr>
            <w:r w:rsidRPr="00B53720">
              <w:rPr>
                <w:rFonts w:asciiTheme="majorHAnsi" w:eastAsia="Tahoma" w:hAnsiTheme="majorHAnsi" w:cstheme="majorHAnsi"/>
                <w:b/>
                <w:i/>
                <w:sz w:val="28"/>
                <w:szCs w:val="28"/>
                <w:lang w:val="vi-VN"/>
              </w:rPr>
              <w:t>Nơi nhận:</w:t>
            </w:r>
            <w:r w:rsidRPr="00B53720">
              <w:rPr>
                <w:rFonts w:asciiTheme="majorHAnsi" w:eastAsia="Tahoma" w:hAnsiTheme="majorHAnsi" w:cstheme="majorHAnsi"/>
                <w:b/>
                <w:i/>
                <w:sz w:val="28"/>
                <w:szCs w:val="28"/>
                <w:lang w:val="vi-VN"/>
              </w:rPr>
              <w:br/>
            </w:r>
            <w:r w:rsidRPr="00B53720">
              <w:rPr>
                <w:rFonts w:asciiTheme="majorHAnsi" w:eastAsia="Tahoma" w:hAnsiTheme="majorHAnsi" w:cstheme="majorHAnsi"/>
                <w:sz w:val="28"/>
                <w:szCs w:val="28"/>
                <w:lang w:val="vi-VN"/>
              </w:rPr>
              <w:t>- Như trên;</w:t>
            </w:r>
            <w:r w:rsidRPr="00B53720">
              <w:rPr>
                <w:rFonts w:asciiTheme="majorHAnsi" w:eastAsia="Tahoma" w:hAnsiTheme="majorHAnsi" w:cstheme="majorHAnsi"/>
                <w:sz w:val="28"/>
                <w:szCs w:val="28"/>
                <w:lang w:val="vi-VN"/>
              </w:rPr>
              <w:br/>
              <w:t>- ……………;</w:t>
            </w:r>
            <w:r w:rsidRPr="00B53720">
              <w:rPr>
                <w:rFonts w:asciiTheme="majorHAnsi" w:eastAsia="Tahoma" w:hAnsiTheme="majorHAnsi" w:cstheme="majorHAnsi"/>
                <w:sz w:val="28"/>
                <w:szCs w:val="28"/>
                <w:lang w:val="vi-VN"/>
              </w:rPr>
              <w:br/>
              <w:t>- Lưu: VT.</w:t>
            </w:r>
          </w:p>
        </w:tc>
        <w:tc>
          <w:tcPr>
            <w:tcW w:w="5712" w:type="dxa"/>
            <w:shd w:val="clear" w:color="auto" w:fill="auto"/>
          </w:tcPr>
          <w:p w:rsidR="00777786" w:rsidRPr="00B53720" w:rsidRDefault="00777786" w:rsidP="00B53720">
            <w:pPr>
              <w:widowControl w:val="0"/>
              <w:spacing w:before="120" w:after="120"/>
              <w:ind w:firstLine="720"/>
              <w:jc w:val="center"/>
              <w:rPr>
                <w:rFonts w:asciiTheme="majorHAnsi" w:eastAsia="Tahoma" w:hAnsiTheme="majorHAnsi" w:cstheme="majorHAnsi"/>
                <w:b/>
                <w:sz w:val="28"/>
                <w:szCs w:val="28"/>
                <w:lang w:val="vi-VN"/>
              </w:rPr>
            </w:pPr>
            <w:r w:rsidRPr="00B53720">
              <w:rPr>
                <w:rFonts w:asciiTheme="majorHAnsi" w:eastAsia="Tahoma" w:hAnsiTheme="majorHAnsi" w:cstheme="majorHAnsi"/>
                <w:sz w:val="28"/>
                <w:szCs w:val="28"/>
                <w:lang w:val="vi-VN"/>
              </w:rPr>
              <w:t>(…2…)</w:t>
            </w:r>
            <w:r w:rsidRPr="00B53720">
              <w:rPr>
                <w:rFonts w:asciiTheme="majorHAnsi" w:eastAsia="Tahoma" w:hAnsiTheme="majorHAnsi" w:cstheme="majorHAnsi"/>
                <w:sz w:val="28"/>
                <w:szCs w:val="28"/>
                <w:lang w:val="vi-VN"/>
              </w:rPr>
              <w:br/>
            </w:r>
            <w:r w:rsidRPr="00B53720">
              <w:rPr>
                <w:rFonts w:asciiTheme="majorHAnsi" w:eastAsia="Tahoma" w:hAnsiTheme="majorHAnsi" w:cstheme="majorHAnsi"/>
                <w:b/>
                <w:bCs/>
                <w:sz w:val="28"/>
                <w:szCs w:val="28"/>
                <w:lang w:val="vi-VN"/>
              </w:rPr>
              <w:t>QUYỀN HẠN, CHỨC VỤ CỦA NGƯỜI KÝ</w:t>
            </w:r>
            <w:r w:rsidRPr="00B53720">
              <w:rPr>
                <w:rFonts w:asciiTheme="majorHAnsi" w:eastAsia="Tahoma" w:hAnsiTheme="majorHAnsi" w:cstheme="majorHAnsi"/>
                <w:sz w:val="28"/>
                <w:szCs w:val="28"/>
                <w:lang w:val="vi-VN"/>
              </w:rPr>
              <w:br/>
            </w:r>
            <w:r w:rsidRPr="00B53720">
              <w:rPr>
                <w:rFonts w:asciiTheme="majorHAnsi" w:eastAsia="Tahoma" w:hAnsiTheme="majorHAnsi" w:cstheme="majorHAnsi"/>
                <w:i/>
                <w:iCs/>
                <w:sz w:val="28"/>
                <w:szCs w:val="28"/>
                <w:lang w:val="vi-VN"/>
              </w:rPr>
              <w:t>(Ký, ghi rõ họ tên và đóng dấu)</w:t>
            </w:r>
          </w:p>
        </w:tc>
      </w:tr>
    </w:tbl>
    <w:p w:rsidR="00952265" w:rsidRPr="00B53720" w:rsidRDefault="006C3CFA" w:rsidP="00B53720">
      <w:pPr>
        <w:widowControl w:val="0"/>
        <w:autoSpaceDE w:val="0"/>
        <w:autoSpaceDN w:val="0"/>
        <w:adjustRightInd w:val="0"/>
        <w:spacing w:before="120" w:after="120"/>
        <w:ind w:firstLine="720"/>
        <w:jc w:val="both"/>
        <w:rPr>
          <w:rFonts w:asciiTheme="majorHAnsi" w:hAnsiTheme="majorHAnsi" w:cstheme="majorHAnsi"/>
          <w:sz w:val="28"/>
          <w:szCs w:val="28"/>
          <w:lang w:val="vi-VN"/>
        </w:rPr>
      </w:pPr>
      <w:bookmarkStart w:id="3" w:name="_GoBack"/>
      <w:bookmarkEnd w:id="3"/>
    </w:p>
    <w:sectPr w:rsidR="00952265" w:rsidRPr="00B53720"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CFA" w:rsidRDefault="006C3CFA" w:rsidP="000105B8">
      <w:r>
        <w:separator/>
      </w:r>
    </w:p>
  </w:endnote>
  <w:endnote w:type="continuationSeparator" w:id="0">
    <w:p w:rsidR="006C3CFA" w:rsidRDefault="006C3CFA"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CFA" w:rsidRDefault="006C3CFA" w:rsidP="000105B8">
      <w:r>
        <w:separator/>
      </w:r>
    </w:p>
  </w:footnote>
  <w:footnote w:type="continuationSeparator" w:id="0">
    <w:p w:rsidR="006C3CFA" w:rsidRDefault="006C3CFA"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B53720" w:rsidRPr="00B53720">
          <w:rPr>
            <w:noProof/>
            <w:lang w:val="vi-VN"/>
          </w:rPr>
          <w:t>3</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84658"/>
    <w:rsid w:val="00255058"/>
    <w:rsid w:val="002F7F1A"/>
    <w:rsid w:val="00317BD3"/>
    <w:rsid w:val="00394C9A"/>
    <w:rsid w:val="003A126D"/>
    <w:rsid w:val="003B1D4A"/>
    <w:rsid w:val="003C7523"/>
    <w:rsid w:val="00406140"/>
    <w:rsid w:val="004D78F2"/>
    <w:rsid w:val="005D7686"/>
    <w:rsid w:val="005E44C9"/>
    <w:rsid w:val="006463BB"/>
    <w:rsid w:val="006C3CFA"/>
    <w:rsid w:val="006F03F6"/>
    <w:rsid w:val="00777786"/>
    <w:rsid w:val="007A45B3"/>
    <w:rsid w:val="008218EB"/>
    <w:rsid w:val="00863BCB"/>
    <w:rsid w:val="008F12BD"/>
    <w:rsid w:val="008F4EB3"/>
    <w:rsid w:val="00944475"/>
    <w:rsid w:val="00A60DC6"/>
    <w:rsid w:val="00A86BA4"/>
    <w:rsid w:val="00AB5D6D"/>
    <w:rsid w:val="00AD11B7"/>
    <w:rsid w:val="00B53720"/>
    <w:rsid w:val="00BB125A"/>
    <w:rsid w:val="00BB5F31"/>
    <w:rsid w:val="00D12EDA"/>
    <w:rsid w:val="00D54531"/>
    <w:rsid w:val="00E835CB"/>
    <w:rsid w:val="00EB2AE9"/>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AF05"/>
  <w15:docId w15:val="{7C2A31E6-86EE-4F36-9ADE-90B5ACF8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2025-06-02T01:47:00Z</dcterms:created>
  <dcterms:modified xsi:type="dcterms:W3CDTF">2025-06-07T13:39:00Z</dcterms:modified>
</cp:coreProperties>
</file>