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D5E" w:rsidRPr="00E16184" w:rsidRDefault="00940641" w:rsidP="00E16184">
      <w:pPr>
        <w:spacing w:before="120" w:after="120"/>
        <w:jc w:val="both"/>
        <w:rPr>
          <w:rFonts w:asciiTheme="majorHAnsi" w:hAnsiTheme="majorHAnsi" w:cstheme="majorHAnsi"/>
          <w:b/>
          <w:color w:val="000000"/>
          <w:sz w:val="28"/>
          <w:szCs w:val="28"/>
        </w:rPr>
      </w:pPr>
      <w:bookmarkStart w:id="0" w:name="_GoBack"/>
      <w:r w:rsidRPr="00E16184">
        <w:rPr>
          <w:rFonts w:asciiTheme="majorHAnsi" w:hAnsiTheme="majorHAnsi" w:cstheme="majorHAnsi"/>
          <w:b/>
          <w:color w:val="000000"/>
          <w:sz w:val="28"/>
          <w:szCs w:val="28"/>
        </w:rPr>
        <w:t xml:space="preserve">Thủ tục hành chính: </w:t>
      </w:r>
      <w:r w:rsidR="00517D5E" w:rsidRPr="00E16184">
        <w:rPr>
          <w:rFonts w:asciiTheme="majorHAnsi" w:hAnsiTheme="majorHAnsi" w:cstheme="majorHAnsi"/>
          <w:b/>
          <w:color w:val="000000"/>
          <w:sz w:val="28"/>
          <w:szCs w:val="28"/>
        </w:rPr>
        <w:t>Công bố hoạt động cảng thủy nội địa trường hợp không còn nhu cầu tiếp nhận phương tiện thủy nước ngoài</w:t>
      </w:r>
    </w:p>
    <w:p w:rsidR="00A8472F" w:rsidRPr="00E16184" w:rsidRDefault="00A8472F" w:rsidP="00E16184">
      <w:pPr>
        <w:spacing w:before="120" w:after="120"/>
        <w:jc w:val="both"/>
        <w:rPr>
          <w:rFonts w:asciiTheme="majorHAnsi" w:hAnsiTheme="majorHAnsi" w:cstheme="majorHAnsi"/>
          <w:b/>
          <w:color w:val="000000"/>
          <w:sz w:val="28"/>
          <w:szCs w:val="28"/>
        </w:rPr>
      </w:pPr>
      <w:r w:rsidRPr="00E16184">
        <w:rPr>
          <w:rFonts w:asciiTheme="majorHAnsi" w:hAnsiTheme="majorHAnsi" w:cstheme="majorHAnsi"/>
          <w:b/>
          <w:bCs/>
          <w:sz w:val="28"/>
          <w:szCs w:val="28"/>
        </w:rPr>
        <w:t xml:space="preserve">Mã TTHC: </w:t>
      </w:r>
      <w:r w:rsidR="00517D5E" w:rsidRPr="00E16184">
        <w:rPr>
          <w:rFonts w:asciiTheme="majorHAnsi" w:hAnsiTheme="majorHAnsi" w:cstheme="majorHAnsi"/>
          <w:b/>
          <w:color w:val="000000"/>
          <w:sz w:val="28"/>
          <w:szCs w:val="28"/>
        </w:rPr>
        <w:t>1.009458.000.00.00.H35</w:t>
      </w:r>
    </w:p>
    <w:p w:rsidR="000718D3" w:rsidRPr="00E16184" w:rsidRDefault="00940641" w:rsidP="00E16184">
      <w:pPr>
        <w:shd w:val="clear" w:color="auto" w:fill="FFFFFF"/>
        <w:spacing w:before="120" w:after="120"/>
        <w:jc w:val="both"/>
        <w:rPr>
          <w:rFonts w:asciiTheme="majorHAnsi" w:hAnsiTheme="majorHAnsi" w:cstheme="majorHAnsi"/>
          <w:sz w:val="28"/>
          <w:szCs w:val="28"/>
        </w:rPr>
      </w:pPr>
      <w:r w:rsidRPr="00E16184">
        <w:rPr>
          <w:rFonts w:asciiTheme="majorHAnsi" w:hAnsiTheme="majorHAnsi" w:cstheme="majorHAnsi"/>
          <w:b/>
          <w:bCs/>
          <w:sz w:val="28"/>
          <w:szCs w:val="28"/>
        </w:rPr>
        <w:t>1.</w:t>
      </w:r>
      <w:r w:rsidR="00A8472F" w:rsidRPr="00E16184">
        <w:rPr>
          <w:rFonts w:asciiTheme="majorHAnsi" w:hAnsiTheme="majorHAnsi" w:cstheme="majorHAnsi"/>
          <w:b/>
          <w:bCs/>
          <w:sz w:val="28"/>
          <w:szCs w:val="28"/>
        </w:rPr>
        <w:t>Trình tự thực hiện:</w:t>
      </w:r>
    </w:p>
    <w:p w:rsidR="00517D5E" w:rsidRPr="00E16184" w:rsidRDefault="00517D5E" w:rsidP="00E16184">
      <w:pPr>
        <w:shd w:val="clear" w:color="auto" w:fill="FFFFFF"/>
        <w:spacing w:before="120" w:after="120"/>
        <w:jc w:val="both"/>
        <w:rPr>
          <w:rFonts w:asciiTheme="majorHAnsi" w:hAnsiTheme="majorHAnsi" w:cstheme="majorHAnsi"/>
          <w:color w:val="333333"/>
          <w:sz w:val="28"/>
          <w:szCs w:val="28"/>
        </w:rPr>
      </w:pPr>
      <w:r w:rsidRPr="00E16184">
        <w:rPr>
          <w:rFonts w:asciiTheme="majorHAnsi" w:hAnsiTheme="majorHAnsi" w:cstheme="majorHAnsi"/>
          <w:color w:val="333333"/>
          <w:sz w:val="28"/>
          <w:szCs w:val="28"/>
        </w:rPr>
        <w:t>a) Nộp hồ sơ TTHC:</w:t>
      </w:r>
    </w:p>
    <w:p w:rsidR="00940641" w:rsidRPr="00E16184" w:rsidRDefault="00517D5E" w:rsidP="00E16184">
      <w:pPr>
        <w:shd w:val="clear" w:color="auto" w:fill="FFFFFF"/>
        <w:spacing w:before="120" w:after="120"/>
        <w:jc w:val="both"/>
        <w:rPr>
          <w:rFonts w:asciiTheme="majorHAnsi" w:hAnsiTheme="majorHAnsi" w:cstheme="majorHAnsi"/>
          <w:color w:val="1E2F41"/>
          <w:sz w:val="28"/>
          <w:szCs w:val="28"/>
        </w:rPr>
      </w:pPr>
      <w:r w:rsidRPr="00E16184">
        <w:rPr>
          <w:rFonts w:asciiTheme="majorHAnsi" w:hAnsiTheme="majorHAnsi" w:cstheme="majorHAnsi"/>
          <w:color w:val="1E2F41"/>
          <w:sz w:val="28"/>
          <w:szCs w:val="28"/>
        </w:rPr>
        <w:t>Cảng thủy nội địa đã được công bố tiếp nhận phương tiện thủy nước ngoài nhưng chủ cảng không còn nhu cầu tiếp nhận phương tiện thủy nước ngoài gửi hồ sơ đến cơ quan có thẩm quyền sau:</w:t>
      </w:r>
    </w:p>
    <w:p w:rsidR="00940641" w:rsidRPr="00E16184" w:rsidRDefault="00517D5E" w:rsidP="00E16184">
      <w:pPr>
        <w:shd w:val="clear" w:color="auto" w:fill="FFFFFF"/>
        <w:spacing w:before="120" w:after="120"/>
        <w:jc w:val="both"/>
        <w:rPr>
          <w:rFonts w:asciiTheme="majorHAnsi" w:hAnsiTheme="majorHAnsi" w:cstheme="majorHAnsi"/>
          <w:color w:val="1E2F41"/>
          <w:sz w:val="28"/>
          <w:szCs w:val="28"/>
        </w:rPr>
      </w:pPr>
      <w:r w:rsidRPr="00E16184">
        <w:rPr>
          <w:rFonts w:asciiTheme="majorHAnsi" w:hAnsiTheme="majorHAnsi" w:cstheme="majorHAnsi"/>
          <w:color w:val="1E2F41"/>
          <w:sz w:val="28"/>
          <w:szCs w:val="28"/>
        </w:rPr>
        <w:t xml:space="preserve"> Bước 1: Chủ cảng gửi văn bản (nêu rõ lý do) đến Bộ Xây dựng đề nghị chấp thuận cảng thủy nội địa trường hợp không có nhu cầu tiếp nhận phương tiện thủy nước ngoài.</w:t>
      </w:r>
    </w:p>
    <w:p w:rsidR="00940641" w:rsidRPr="00E16184" w:rsidRDefault="00517D5E" w:rsidP="00E16184">
      <w:pPr>
        <w:shd w:val="clear" w:color="auto" w:fill="FFFFFF"/>
        <w:spacing w:before="120" w:after="120"/>
        <w:jc w:val="both"/>
        <w:rPr>
          <w:rFonts w:asciiTheme="majorHAnsi" w:hAnsiTheme="majorHAnsi" w:cstheme="majorHAnsi"/>
          <w:color w:val="1E2F41"/>
          <w:sz w:val="28"/>
          <w:szCs w:val="28"/>
        </w:rPr>
      </w:pPr>
      <w:r w:rsidRPr="00E16184">
        <w:rPr>
          <w:rFonts w:asciiTheme="majorHAnsi" w:hAnsiTheme="majorHAnsi" w:cstheme="majorHAnsi"/>
          <w:color w:val="1E2F41"/>
          <w:sz w:val="28"/>
          <w:szCs w:val="28"/>
        </w:rPr>
        <w:t xml:space="preserve"> Bước 2: Sau khi có văn bản chấp thuận của Bộ Xây dựng, chủ cảng gửi gửi hồ sơ đến Cục Hàng hải và Đường</w:t>
      </w:r>
      <w:r w:rsidR="00940641" w:rsidRPr="00E16184">
        <w:rPr>
          <w:rFonts w:asciiTheme="majorHAnsi" w:hAnsiTheme="majorHAnsi" w:cstheme="majorHAnsi"/>
          <w:color w:val="1E2F41"/>
          <w:sz w:val="28"/>
          <w:szCs w:val="28"/>
        </w:rPr>
        <w:t xml:space="preserve"> thủy Việt Nam hoặc Sở Xây dựng</w:t>
      </w:r>
      <w:r w:rsidRPr="00E16184">
        <w:rPr>
          <w:rFonts w:asciiTheme="majorHAnsi" w:hAnsiTheme="majorHAnsi" w:cstheme="majorHAnsi"/>
          <w:color w:val="1E2F41"/>
          <w:sz w:val="28"/>
          <w:szCs w:val="28"/>
        </w:rPr>
        <w:t xml:space="preserve"> </w:t>
      </w:r>
    </w:p>
    <w:p w:rsidR="00940641" w:rsidRPr="00E16184" w:rsidRDefault="00517D5E" w:rsidP="00E16184">
      <w:pPr>
        <w:shd w:val="clear" w:color="auto" w:fill="FFFFFF"/>
        <w:spacing w:before="120" w:after="120"/>
        <w:jc w:val="both"/>
        <w:rPr>
          <w:rFonts w:asciiTheme="majorHAnsi" w:hAnsiTheme="majorHAnsi" w:cstheme="majorHAnsi"/>
          <w:color w:val="1E2F41"/>
          <w:sz w:val="28"/>
          <w:szCs w:val="28"/>
        </w:rPr>
      </w:pPr>
      <w:r w:rsidRPr="00E16184">
        <w:rPr>
          <w:rFonts w:asciiTheme="majorHAnsi" w:hAnsiTheme="majorHAnsi" w:cstheme="majorHAnsi"/>
          <w:color w:val="1E2F41"/>
          <w:sz w:val="28"/>
          <w:szCs w:val="28"/>
        </w:rPr>
        <w:t>đề nghị công bố hoạt động cảng thủy nội địa không tiếp nhận phương tiện thủy nước ngoài:</w:t>
      </w:r>
    </w:p>
    <w:p w:rsidR="00940641" w:rsidRPr="00E16184" w:rsidRDefault="00517D5E" w:rsidP="00E16184">
      <w:pPr>
        <w:shd w:val="clear" w:color="auto" w:fill="FFFFFF"/>
        <w:spacing w:before="120" w:after="120"/>
        <w:jc w:val="both"/>
        <w:rPr>
          <w:rFonts w:asciiTheme="majorHAnsi" w:hAnsiTheme="majorHAnsi" w:cstheme="majorHAnsi"/>
          <w:color w:val="1E2F41"/>
          <w:sz w:val="28"/>
          <w:szCs w:val="28"/>
        </w:rPr>
      </w:pPr>
      <w:r w:rsidRPr="00E16184">
        <w:rPr>
          <w:rFonts w:asciiTheme="majorHAnsi" w:hAnsiTheme="majorHAnsi" w:cstheme="majorHAnsi"/>
          <w:color w:val="1E2F41"/>
          <w:sz w:val="28"/>
          <w:szCs w:val="28"/>
        </w:rPr>
        <w:t xml:space="preserve"> + Cục Hàng hải và Đường thủy Việt Nam: công bố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w:t>
      </w:r>
    </w:p>
    <w:p w:rsidR="00517D5E" w:rsidRPr="00E16184" w:rsidRDefault="00517D5E" w:rsidP="00E16184">
      <w:pPr>
        <w:shd w:val="clear" w:color="auto" w:fill="FFFFFF"/>
        <w:spacing w:before="120" w:after="120"/>
        <w:jc w:val="both"/>
        <w:rPr>
          <w:rFonts w:asciiTheme="majorHAnsi" w:hAnsiTheme="majorHAnsi" w:cstheme="majorHAnsi"/>
          <w:color w:val="1E2F41"/>
          <w:sz w:val="28"/>
          <w:szCs w:val="28"/>
        </w:rPr>
      </w:pPr>
      <w:r w:rsidRPr="00E16184">
        <w:rPr>
          <w:rFonts w:asciiTheme="majorHAnsi" w:hAnsiTheme="majorHAnsi" w:cstheme="majorHAnsi"/>
          <w:color w:val="1E2F41"/>
          <w:sz w:val="28"/>
          <w:szCs w:val="28"/>
        </w:rPr>
        <w:t>+ Sở Xây dựng: công bố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w:t>
      </w:r>
    </w:p>
    <w:p w:rsidR="00517D5E" w:rsidRPr="00E16184" w:rsidRDefault="00517D5E" w:rsidP="00E16184">
      <w:pPr>
        <w:shd w:val="clear" w:color="auto" w:fill="FFFFFF"/>
        <w:spacing w:before="120" w:after="120"/>
        <w:jc w:val="both"/>
        <w:rPr>
          <w:rFonts w:asciiTheme="majorHAnsi" w:hAnsiTheme="majorHAnsi" w:cstheme="majorHAnsi"/>
          <w:color w:val="333333"/>
          <w:sz w:val="28"/>
          <w:szCs w:val="28"/>
        </w:rPr>
      </w:pPr>
      <w:r w:rsidRPr="00E16184">
        <w:rPr>
          <w:rFonts w:asciiTheme="majorHAnsi" w:hAnsiTheme="majorHAnsi" w:cstheme="majorHAnsi"/>
          <w:color w:val="333333"/>
          <w:sz w:val="28"/>
          <w:szCs w:val="28"/>
        </w:rPr>
        <w:t>b) Giải quyết TTHC:</w:t>
      </w:r>
    </w:p>
    <w:p w:rsidR="00940641" w:rsidRPr="00E16184" w:rsidRDefault="00517D5E" w:rsidP="00E16184">
      <w:pPr>
        <w:shd w:val="clear" w:color="auto" w:fill="FFFFFF"/>
        <w:spacing w:before="120" w:after="120"/>
        <w:jc w:val="both"/>
        <w:rPr>
          <w:rFonts w:asciiTheme="majorHAnsi" w:hAnsiTheme="majorHAnsi" w:cstheme="majorHAnsi"/>
          <w:color w:val="1E2F41"/>
          <w:sz w:val="28"/>
          <w:szCs w:val="28"/>
        </w:rPr>
      </w:pPr>
      <w:r w:rsidRPr="00E16184">
        <w:rPr>
          <w:rFonts w:asciiTheme="majorHAnsi" w:hAnsiTheme="majorHAnsi" w:cstheme="majorHAnsi"/>
          <w:color w:val="1E2F41"/>
          <w:sz w:val="28"/>
          <w:szCs w:val="28"/>
        </w:rPr>
        <w:t>Bước 1: Chấp thuận hoạt động cảng thủy nội địa trường hợp không có nhu cầu tiếp nhận phương tiện thủy nước ngoài Trong thời hạn 05 ngày làm việc, kể từ ngày nhận được văn bản đề nghị của chủ cảng, Bộ Xây dựng có văn bản chấp thuận gửi chủ cảng.</w:t>
      </w:r>
    </w:p>
    <w:p w:rsidR="00D36FDE" w:rsidRPr="00E16184" w:rsidRDefault="00517D5E" w:rsidP="00E16184">
      <w:pPr>
        <w:shd w:val="clear" w:color="auto" w:fill="FFFFFF"/>
        <w:spacing w:before="120" w:after="120"/>
        <w:jc w:val="both"/>
        <w:rPr>
          <w:rFonts w:asciiTheme="majorHAnsi" w:hAnsiTheme="majorHAnsi" w:cstheme="majorHAnsi"/>
          <w:color w:val="1E2F41"/>
          <w:sz w:val="28"/>
          <w:szCs w:val="28"/>
        </w:rPr>
      </w:pPr>
      <w:r w:rsidRPr="00E16184">
        <w:rPr>
          <w:rFonts w:asciiTheme="majorHAnsi" w:hAnsiTheme="majorHAnsi" w:cstheme="majorHAnsi"/>
          <w:color w:val="1E2F41"/>
          <w:sz w:val="28"/>
          <w:szCs w:val="28"/>
        </w:rPr>
        <w:t xml:space="preserve"> Bước 2: Công bố hoạt động cảng thủy nội địa không tiếp nhận phương tiện thủy nước ngoài Trong thời hạn 05 ngày làm việc, kể từ ngày nhận được đơn của chủ cảng, Cục Hàng hải và Đ</w:t>
      </w:r>
      <w:r w:rsidR="00940641" w:rsidRPr="00E16184">
        <w:rPr>
          <w:rFonts w:asciiTheme="majorHAnsi" w:hAnsiTheme="majorHAnsi" w:cstheme="majorHAnsi"/>
          <w:color w:val="1E2F41"/>
          <w:sz w:val="28"/>
          <w:szCs w:val="28"/>
        </w:rPr>
        <w:t xml:space="preserve">ường thủy Việt Nam, Sở Xây dựng </w:t>
      </w:r>
      <w:r w:rsidRPr="00E16184">
        <w:rPr>
          <w:rFonts w:asciiTheme="majorHAnsi" w:hAnsiTheme="majorHAnsi" w:cstheme="majorHAnsi"/>
          <w:color w:val="1E2F41"/>
          <w:sz w:val="28"/>
          <w:szCs w:val="28"/>
        </w:rPr>
        <w:t xml:space="preserve"> ban hành quyết định công bố hoạt động cảng thủy nội địa không tiếp nhận phương tiện thủy nước ngoài gửi chủ cảng đồng thời gửi Bộ Quốc phòng, Bộ Công an, Ủy ban nhân dân cấp tỉnh để theo dõi.</w:t>
      </w:r>
    </w:p>
    <w:p w:rsidR="00A8472F" w:rsidRPr="00E16184" w:rsidRDefault="00A8472F" w:rsidP="00E16184">
      <w:pPr>
        <w:shd w:val="clear" w:color="auto" w:fill="FFFFFF"/>
        <w:spacing w:before="120" w:after="120"/>
        <w:jc w:val="both"/>
        <w:rPr>
          <w:rFonts w:asciiTheme="majorHAnsi" w:hAnsiTheme="majorHAnsi" w:cstheme="majorHAnsi"/>
          <w:sz w:val="28"/>
          <w:szCs w:val="28"/>
        </w:rPr>
      </w:pPr>
      <w:r w:rsidRPr="00E16184">
        <w:rPr>
          <w:rFonts w:asciiTheme="majorHAnsi" w:hAnsiTheme="majorHAnsi" w:cstheme="majorHAnsi"/>
          <w:b/>
          <w:bCs/>
          <w:sz w:val="28"/>
          <w:szCs w:val="28"/>
        </w:rPr>
        <w:t>2. Cách thức thực hiện:</w:t>
      </w:r>
      <w:r w:rsidR="00940641" w:rsidRPr="00E16184">
        <w:rPr>
          <w:rFonts w:asciiTheme="majorHAnsi" w:hAnsiTheme="majorHAnsi" w:cstheme="majorHAnsi"/>
          <w:sz w:val="28"/>
          <w:szCs w:val="28"/>
        </w:rPr>
        <w:t xml:space="preserve"> </w:t>
      </w:r>
      <w:r w:rsidRPr="00E16184">
        <w:rPr>
          <w:rFonts w:asciiTheme="majorHAnsi" w:hAnsiTheme="majorHAnsi" w:cstheme="majorHAnsi"/>
          <w:sz w:val="28"/>
          <w:szCs w:val="28"/>
        </w:rPr>
        <w:t xml:space="preserve">Nộp hồ sơ trực tiếp; Qua hệ thống bưu chính; </w:t>
      </w:r>
      <w:r w:rsidR="000718D3" w:rsidRPr="00E16184">
        <w:rPr>
          <w:rFonts w:asciiTheme="majorHAnsi" w:hAnsiTheme="majorHAnsi" w:cstheme="majorHAnsi"/>
          <w:sz w:val="28"/>
          <w:szCs w:val="28"/>
        </w:rPr>
        <w:t>Trực tuyến.</w:t>
      </w:r>
    </w:p>
    <w:p w:rsidR="00A8472F" w:rsidRPr="00E16184" w:rsidRDefault="00A8472F" w:rsidP="00E16184">
      <w:pPr>
        <w:shd w:val="clear" w:color="auto" w:fill="FFFFFF"/>
        <w:spacing w:before="120" w:after="120"/>
        <w:jc w:val="both"/>
        <w:rPr>
          <w:rFonts w:asciiTheme="majorHAnsi" w:hAnsiTheme="majorHAnsi" w:cstheme="majorHAnsi"/>
          <w:b/>
          <w:bCs/>
          <w:sz w:val="28"/>
          <w:szCs w:val="28"/>
        </w:rPr>
      </w:pPr>
      <w:r w:rsidRPr="00E16184">
        <w:rPr>
          <w:rFonts w:asciiTheme="majorHAnsi" w:hAnsiTheme="majorHAnsi" w:cstheme="majorHAnsi"/>
          <w:b/>
          <w:bCs/>
          <w:sz w:val="28"/>
          <w:szCs w:val="28"/>
        </w:rPr>
        <w:t>3. Thành phần, số lượng hồ sơ:</w:t>
      </w:r>
    </w:p>
    <w:p w:rsidR="000718D3" w:rsidRPr="00E16184" w:rsidRDefault="000718D3" w:rsidP="00E16184">
      <w:pPr>
        <w:shd w:val="clear" w:color="auto" w:fill="FFFFFF"/>
        <w:spacing w:before="120" w:after="120"/>
        <w:jc w:val="both"/>
        <w:rPr>
          <w:rFonts w:asciiTheme="majorHAnsi" w:hAnsiTheme="majorHAnsi" w:cstheme="majorHAnsi"/>
          <w:b/>
          <w:bCs/>
          <w:sz w:val="28"/>
          <w:szCs w:val="28"/>
        </w:rPr>
      </w:pPr>
      <w:r w:rsidRPr="00E16184">
        <w:rPr>
          <w:rFonts w:asciiTheme="majorHAnsi" w:hAnsiTheme="majorHAnsi" w:cstheme="majorHAnsi"/>
          <w:b/>
          <w:bCs/>
          <w:sz w:val="28"/>
          <w:szCs w:val="28"/>
        </w:rPr>
        <w:t>a) Thành phần hồ sơ</w:t>
      </w:r>
    </w:p>
    <w:p w:rsidR="00517D5E" w:rsidRPr="00E16184" w:rsidRDefault="00517D5E" w:rsidP="00E16184">
      <w:pPr>
        <w:shd w:val="clear" w:color="auto" w:fill="FFFFFF"/>
        <w:spacing w:before="120" w:after="120"/>
        <w:jc w:val="both"/>
        <w:rPr>
          <w:rFonts w:asciiTheme="majorHAnsi" w:hAnsiTheme="majorHAnsi" w:cstheme="majorHAnsi"/>
          <w:color w:val="333333"/>
          <w:sz w:val="28"/>
          <w:szCs w:val="28"/>
          <w:shd w:val="clear" w:color="auto" w:fill="FFFFFF"/>
        </w:rPr>
      </w:pPr>
      <w:r w:rsidRPr="00E16184">
        <w:rPr>
          <w:rFonts w:asciiTheme="majorHAnsi" w:hAnsiTheme="majorHAnsi" w:cstheme="majorHAnsi"/>
          <w:color w:val="333333"/>
          <w:sz w:val="28"/>
          <w:szCs w:val="28"/>
          <w:shd w:val="clear" w:color="auto" w:fill="FFFFFF"/>
        </w:rPr>
        <w:lastRenderedPageBreak/>
        <w:t>* Hồ sơ chấp thuận hoạt động cảng thủy nội địa trường hợp không có nhu cầu tiếp nhận phương tiện thủy nước ngoài</w:t>
      </w:r>
    </w:p>
    <w:p w:rsidR="00517D5E" w:rsidRPr="00E16184" w:rsidRDefault="00517D5E" w:rsidP="00E16184">
      <w:pPr>
        <w:shd w:val="clear" w:color="auto" w:fill="FFFFFF"/>
        <w:spacing w:before="120" w:after="120"/>
        <w:jc w:val="both"/>
        <w:rPr>
          <w:rFonts w:asciiTheme="majorHAnsi" w:hAnsiTheme="majorHAnsi" w:cstheme="majorHAnsi"/>
          <w:color w:val="1E2F41"/>
          <w:sz w:val="28"/>
          <w:szCs w:val="28"/>
          <w:shd w:val="clear" w:color="auto" w:fill="FFFFFF"/>
        </w:rPr>
      </w:pPr>
      <w:r w:rsidRPr="00E16184">
        <w:rPr>
          <w:rFonts w:asciiTheme="majorHAnsi" w:hAnsiTheme="majorHAnsi" w:cstheme="majorHAnsi"/>
          <w:color w:val="1E2F41"/>
          <w:sz w:val="28"/>
          <w:szCs w:val="28"/>
          <w:shd w:val="clear" w:color="auto" w:fill="FFFFFF"/>
        </w:rPr>
        <w:t>Văn bản (nêu rõ lý do) gửi Bộ Xây dựng</w:t>
      </w:r>
    </w:p>
    <w:p w:rsidR="00517D5E" w:rsidRPr="00E16184" w:rsidRDefault="00517D5E" w:rsidP="00E16184">
      <w:pPr>
        <w:shd w:val="clear" w:color="auto" w:fill="FFFFFF"/>
        <w:spacing w:before="120" w:after="120"/>
        <w:jc w:val="both"/>
        <w:rPr>
          <w:rFonts w:asciiTheme="majorHAnsi" w:hAnsiTheme="majorHAnsi" w:cstheme="majorHAnsi"/>
          <w:color w:val="333333"/>
          <w:sz w:val="28"/>
          <w:szCs w:val="28"/>
          <w:shd w:val="clear" w:color="auto" w:fill="FFFFFF"/>
        </w:rPr>
      </w:pPr>
      <w:r w:rsidRPr="00E16184">
        <w:rPr>
          <w:rFonts w:asciiTheme="majorHAnsi" w:hAnsiTheme="majorHAnsi" w:cstheme="majorHAnsi"/>
          <w:color w:val="333333"/>
          <w:sz w:val="28"/>
          <w:szCs w:val="28"/>
          <w:shd w:val="clear" w:color="auto" w:fill="FFFFFF"/>
        </w:rPr>
        <w:t>* Hồ sơ công bố hoạt động cảng thủy nội địa không tiếp nhận phương tiện thủy nước ngoài</w:t>
      </w:r>
    </w:p>
    <w:p w:rsidR="00517D5E" w:rsidRPr="00E16184" w:rsidRDefault="00517D5E" w:rsidP="00E16184">
      <w:pPr>
        <w:shd w:val="clear" w:color="auto" w:fill="FFFFFF"/>
        <w:spacing w:before="120" w:after="120"/>
        <w:jc w:val="both"/>
        <w:rPr>
          <w:rFonts w:asciiTheme="majorHAnsi" w:hAnsiTheme="majorHAnsi" w:cstheme="majorHAnsi"/>
          <w:color w:val="333333"/>
          <w:sz w:val="28"/>
          <w:szCs w:val="28"/>
          <w:shd w:val="clear" w:color="auto" w:fill="FFFFFF"/>
        </w:rPr>
      </w:pPr>
      <w:r w:rsidRPr="00E16184">
        <w:rPr>
          <w:rFonts w:asciiTheme="majorHAnsi" w:hAnsiTheme="majorHAnsi" w:cstheme="majorHAnsi"/>
          <w:color w:val="1E2F41"/>
          <w:sz w:val="28"/>
          <w:szCs w:val="28"/>
          <w:shd w:val="clear" w:color="auto" w:fill="FFFFFF"/>
        </w:rPr>
        <w:t>Đơn đề nghị công bố hoạt động cảng thủy nội địa.</w:t>
      </w:r>
    </w:p>
    <w:p w:rsidR="00A8472F" w:rsidRPr="00E16184" w:rsidRDefault="00A8472F" w:rsidP="00E16184">
      <w:pPr>
        <w:shd w:val="clear" w:color="auto" w:fill="FFFFFF"/>
        <w:spacing w:before="120" w:after="120"/>
        <w:jc w:val="both"/>
        <w:rPr>
          <w:rFonts w:asciiTheme="majorHAnsi" w:hAnsiTheme="majorHAnsi" w:cstheme="majorHAnsi"/>
          <w:sz w:val="28"/>
          <w:szCs w:val="28"/>
        </w:rPr>
      </w:pPr>
      <w:r w:rsidRPr="00E16184">
        <w:rPr>
          <w:rFonts w:asciiTheme="majorHAnsi" w:hAnsiTheme="majorHAnsi" w:cstheme="majorHAnsi"/>
          <w:sz w:val="28"/>
          <w:szCs w:val="28"/>
        </w:rPr>
        <w:t>b) Số lượng hồ sơ: 01 bộ.</w:t>
      </w:r>
    </w:p>
    <w:p w:rsidR="000718D3" w:rsidRPr="00E16184" w:rsidRDefault="00A8472F" w:rsidP="00E16184">
      <w:pPr>
        <w:shd w:val="clear" w:color="auto" w:fill="FFFFFF"/>
        <w:spacing w:before="120" w:after="120"/>
        <w:jc w:val="both"/>
        <w:rPr>
          <w:rFonts w:asciiTheme="majorHAnsi" w:hAnsiTheme="majorHAnsi" w:cstheme="majorHAnsi"/>
          <w:sz w:val="28"/>
          <w:szCs w:val="28"/>
        </w:rPr>
      </w:pPr>
      <w:r w:rsidRPr="00E16184">
        <w:rPr>
          <w:rFonts w:asciiTheme="majorHAnsi" w:hAnsiTheme="majorHAnsi" w:cstheme="majorHAnsi"/>
          <w:b/>
          <w:bCs/>
          <w:sz w:val="28"/>
          <w:szCs w:val="28"/>
        </w:rPr>
        <w:t>4. Thời hạn giải quyết:</w:t>
      </w:r>
      <w:r w:rsidR="000718D3" w:rsidRPr="00E16184">
        <w:rPr>
          <w:rFonts w:asciiTheme="majorHAnsi" w:hAnsiTheme="majorHAnsi" w:cstheme="majorHAnsi"/>
          <w:sz w:val="28"/>
          <w:szCs w:val="28"/>
        </w:rPr>
        <w:t xml:space="preserve"> 0</w:t>
      </w:r>
      <w:r w:rsidR="00D36FDE" w:rsidRPr="00E16184">
        <w:rPr>
          <w:rFonts w:asciiTheme="majorHAnsi" w:hAnsiTheme="majorHAnsi" w:cstheme="majorHAnsi"/>
          <w:sz w:val="28"/>
          <w:szCs w:val="28"/>
        </w:rPr>
        <w:t>5</w:t>
      </w:r>
      <w:r w:rsidR="000718D3" w:rsidRPr="00E16184">
        <w:rPr>
          <w:rFonts w:asciiTheme="majorHAnsi" w:hAnsiTheme="majorHAnsi" w:cstheme="majorHAnsi"/>
          <w:sz w:val="28"/>
          <w:szCs w:val="28"/>
        </w:rPr>
        <w:t xml:space="preserve"> ngày làm việc, kể từ khi nhận đủ hồ sơ theo quy định.</w:t>
      </w:r>
    </w:p>
    <w:p w:rsidR="00A8472F" w:rsidRPr="00E16184" w:rsidRDefault="00A8472F" w:rsidP="00E16184">
      <w:pPr>
        <w:shd w:val="clear" w:color="auto" w:fill="FFFFFF"/>
        <w:spacing w:before="120" w:after="120"/>
        <w:jc w:val="both"/>
        <w:rPr>
          <w:rFonts w:asciiTheme="majorHAnsi" w:hAnsiTheme="majorHAnsi" w:cstheme="majorHAnsi"/>
          <w:sz w:val="28"/>
          <w:szCs w:val="28"/>
        </w:rPr>
      </w:pPr>
      <w:r w:rsidRPr="00E16184">
        <w:rPr>
          <w:rFonts w:asciiTheme="majorHAnsi" w:hAnsiTheme="majorHAnsi" w:cstheme="majorHAnsi"/>
          <w:b/>
          <w:bCs/>
          <w:sz w:val="28"/>
          <w:szCs w:val="28"/>
        </w:rPr>
        <w:t>5. Đối tượng thực hiện thủ tục hành chính:</w:t>
      </w:r>
      <w:r w:rsidRPr="00E16184">
        <w:rPr>
          <w:rFonts w:asciiTheme="majorHAnsi" w:hAnsiTheme="majorHAnsi" w:cstheme="majorHAnsi"/>
          <w:sz w:val="28"/>
          <w:szCs w:val="28"/>
        </w:rPr>
        <w:t> </w:t>
      </w:r>
      <w:r w:rsidR="000718D3" w:rsidRPr="00E16184">
        <w:rPr>
          <w:rFonts w:asciiTheme="majorHAnsi" w:hAnsiTheme="majorHAnsi" w:cstheme="majorHAnsi"/>
          <w:sz w:val="28"/>
          <w:szCs w:val="28"/>
        </w:rPr>
        <w:t>Cá nhân, t</w:t>
      </w:r>
      <w:r w:rsidRPr="00E16184">
        <w:rPr>
          <w:rFonts w:asciiTheme="majorHAnsi" w:hAnsiTheme="majorHAnsi" w:cstheme="majorHAnsi"/>
          <w:sz w:val="28"/>
          <w:szCs w:val="28"/>
        </w:rPr>
        <w:t>ổ chức.</w:t>
      </w:r>
    </w:p>
    <w:p w:rsidR="00A8472F" w:rsidRPr="00E16184" w:rsidRDefault="00A8472F" w:rsidP="00E16184">
      <w:pPr>
        <w:shd w:val="clear" w:color="auto" w:fill="FFFFFF"/>
        <w:spacing w:before="120" w:after="120"/>
        <w:jc w:val="both"/>
        <w:rPr>
          <w:rFonts w:asciiTheme="majorHAnsi" w:hAnsiTheme="majorHAnsi" w:cstheme="majorHAnsi"/>
          <w:sz w:val="28"/>
          <w:szCs w:val="28"/>
        </w:rPr>
      </w:pPr>
      <w:r w:rsidRPr="00E16184">
        <w:rPr>
          <w:rFonts w:asciiTheme="majorHAnsi" w:hAnsiTheme="majorHAnsi" w:cstheme="majorHAnsi"/>
          <w:b/>
          <w:bCs/>
          <w:sz w:val="28"/>
          <w:szCs w:val="28"/>
        </w:rPr>
        <w:t>6. Cơ quan thực hiện thủ tục hành chính:</w:t>
      </w:r>
      <w:r w:rsidR="000718D3" w:rsidRPr="00E16184">
        <w:rPr>
          <w:rFonts w:asciiTheme="majorHAnsi" w:hAnsiTheme="majorHAnsi" w:cstheme="majorHAnsi"/>
          <w:b/>
          <w:bCs/>
          <w:sz w:val="28"/>
          <w:szCs w:val="28"/>
        </w:rPr>
        <w:t xml:space="preserve"> </w:t>
      </w:r>
      <w:r w:rsidR="000718D3" w:rsidRPr="00E16184">
        <w:rPr>
          <w:rFonts w:asciiTheme="majorHAnsi" w:hAnsiTheme="majorHAnsi" w:cstheme="majorHAnsi"/>
          <w:bCs/>
          <w:sz w:val="28"/>
          <w:szCs w:val="28"/>
        </w:rPr>
        <w:t>Sở Xây dựng</w:t>
      </w:r>
    </w:p>
    <w:p w:rsidR="00517D5E" w:rsidRPr="00E16184" w:rsidRDefault="00A8472F" w:rsidP="00E16184">
      <w:pPr>
        <w:spacing w:before="120" w:after="120"/>
        <w:jc w:val="both"/>
        <w:rPr>
          <w:rFonts w:asciiTheme="majorHAnsi" w:hAnsiTheme="majorHAnsi" w:cstheme="majorHAnsi"/>
          <w:color w:val="1E2F41"/>
          <w:sz w:val="28"/>
          <w:szCs w:val="28"/>
          <w:shd w:val="clear" w:color="auto" w:fill="FFFFFF"/>
        </w:rPr>
      </w:pPr>
      <w:r w:rsidRPr="00E16184">
        <w:rPr>
          <w:rFonts w:asciiTheme="majorHAnsi" w:hAnsiTheme="majorHAnsi" w:cstheme="majorHAnsi"/>
          <w:b/>
          <w:bCs/>
          <w:spacing w:val="-2"/>
          <w:sz w:val="28"/>
          <w:szCs w:val="28"/>
        </w:rPr>
        <w:t>7. Kết quả của việc thực hiện thủ tục hành chính:</w:t>
      </w:r>
      <w:r w:rsidRPr="00E16184">
        <w:rPr>
          <w:rFonts w:asciiTheme="majorHAnsi" w:hAnsiTheme="majorHAnsi" w:cstheme="majorHAnsi"/>
          <w:spacing w:val="-2"/>
          <w:sz w:val="28"/>
          <w:szCs w:val="28"/>
        </w:rPr>
        <w:t> </w:t>
      </w:r>
      <w:r w:rsidR="00517D5E" w:rsidRPr="00E16184">
        <w:rPr>
          <w:rFonts w:asciiTheme="majorHAnsi" w:hAnsiTheme="majorHAnsi" w:cstheme="majorHAnsi"/>
          <w:color w:val="1E2F41"/>
          <w:sz w:val="28"/>
          <w:szCs w:val="28"/>
          <w:shd w:val="clear" w:color="auto" w:fill="FFFFFF"/>
        </w:rPr>
        <w:t>Đơn đề nghị công bố hoạt động cảng thủy nội địa theo mẫu.</w:t>
      </w:r>
    </w:p>
    <w:p w:rsidR="00A8472F" w:rsidRPr="00E16184" w:rsidRDefault="00A8472F" w:rsidP="00E16184">
      <w:pPr>
        <w:spacing w:before="120" w:after="120"/>
        <w:jc w:val="both"/>
        <w:rPr>
          <w:rFonts w:asciiTheme="majorHAnsi" w:hAnsiTheme="majorHAnsi" w:cstheme="majorHAnsi"/>
          <w:sz w:val="28"/>
          <w:szCs w:val="28"/>
        </w:rPr>
      </w:pPr>
      <w:r w:rsidRPr="00E16184">
        <w:rPr>
          <w:rFonts w:asciiTheme="majorHAnsi" w:hAnsiTheme="majorHAnsi" w:cstheme="majorHAnsi"/>
          <w:b/>
          <w:bCs/>
          <w:sz w:val="28"/>
          <w:szCs w:val="28"/>
        </w:rPr>
        <w:t>8. Phí, lệ phí:</w:t>
      </w:r>
      <w:r w:rsidRPr="00E16184">
        <w:rPr>
          <w:rFonts w:asciiTheme="majorHAnsi" w:hAnsiTheme="majorHAnsi" w:cstheme="majorHAnsi"/>
          <w:sz w:val="28"/>
          <w:szCs w:val="28"/>
        </w:rPr>
        <w:t> </w:t>
      </w:r>
      <w:r w:rsidR="00517D5E" w:rsidRPr="00E16184">
        <w:rPr>
          <w:rFonts w:asciiTheme="majorHAnsi" w:hAnsiTheme="majorHAnsi" w:cstheme="majorHAnsi"/>
          <w:sz w:val="28"/>
          <w:szCs w:val="28"/>
        </w:rPr>
        <w:t>100.000 đồng/lần</w:t>
      </w:r>
    </w:p>
    <w:p w:rsidR="000718D3" w:rsidRPr="00E16184" w:rsidRDefault="00A8472F" w:rsidP="00E16184">
      <w:pPr>
        <w:shd w:val="clear" w:color="auto" w:fill="FFFFFF"/>
        <w:spacing w:before="120" w:after="120"/>
        <w:jc w:val="both"/>
        <w:rPr>
          <w:rFonts w:asciiTheme="majorHAnsi" w:hAnsiTheme="majorHAnsi" w:cstheme="majorHAnsi"/>
          <w:b/>
          <w:bCs/>
          <w:sz w:val="28"/>
          <w:szCs w:val="28"/>
        </w:rPr>
      </w:pPr>
      <w:r w:rsidRPr="00E16184">
        <w:rPr>
          <w:rFonts w:asciiTheme="majorHAnsi" w:hAnsiTheme="majorHAnsi" w:cstheme="majorHAnsi"/>
          <w:b/>
          <w:bCs/>
          <w:sz w:val="28"/>
          <w:szCs w:val="28"/>
        </w:rPr>
        <w:t>9. Tên mẫu đơn, mẫu tờ khai hành chính:</w:t>
      </w:r>
      <w:r w:rsidR="000718D3" w:rsidRPr="00E16184">
        <w:rPr>
          <w:rFonts w:asciiTheme="majorHAnsi" w:hAnsiTheme="majorHAnsi" w:cstheme="majorHAnsi"/>
          <w:b/>
          <w:bCs/>
          <w:sz w:val="28"/>
          <w:szCs w:val="28"/>
        </w:rPr>
        <w:t xml:space="preserve"> </w:t>
      </w:r>
    </w:p>
    <w:p w:rsidR="00A8472F" w:rsidRPr="00E16184" w:rsidRDefault="00A8472F" w:rsidP="00E16184">
      <w:pPr>
        <w:shd w:val="clear" w:color="auto" w:fill="FFFFFF"/>
        <w:spacing w:before="120" w:after="120"/>
        <w:jc w:val="both"/>
        <w:rPr>
          <w:rFonts w:asciiTheme="majorHAnsi" w:hAnsiTheme="majorHAnsi" w:cstheme="majorHAnsi"/>
          <w:sz w:val="28"/>
          <w:szCs w:val="28"/>
        </w:rPr>
      </w:pPr>
      <w:r w:rsidRPr="00E16184">
        <w:rPr>
          <w:rFonts w:asciiTheme="majorHAnsi" w:hAnsiTheme="majorHAnsi" w:cstheme="majorHAnsi"/>
          <w:b/>
          <w:bCs/>
          <w:sz w:val="28"/>
          <w:szCs w:val="28"/>
        </w:rPr>
        <w:t>10. Yêu cầu, điều kiện thực hiện thủ tục hành chính:</w:t>
      </w:r>
      <w:r w:rsidR="000718D3" w:rsidRPr="00E16184">
        <w:rPr>
          <w:rFonts w:asciiTheme="majorHAnsi" w:hAnsiTheme="majorHAnsi" w:cstheme="majorHAnsi"/>
          <w:b/>
          <w:bCs/>
          <w:sz w:val="28"/>
          <w:szCs w:val="28"/>
        </w:rPr>
        <w:t>Không</w:t>
      </w:r>
    </w:p>
    <w:p w:rsidR="00A8472F" w:rsidRPr="00E16184" w:rsidRDefault="00A8472F" w:rsidP="00E16184">
      <w:pPr>
        <w:shd w:val="clear" w:color="auto" w:fill="FFFFFF"/>
        <w:spacing w:before="120" w:after="120"/>
        <w:jc w:val="both"/>
        <w:rPr>
          <w:rFonts w:asciiTheme="majorHAnsi" w:hAnsiTheme="majorHAnsi" w:cstheme="majorHAnsi"/>
          <w:b/>
          <w:bCs/>
          <w:sz w:val="28"/>
          <w:szCs w:val="28"/>
        </w:rPr>
      </w:pPr>
      <w:r w:rsidRPr="00E16184">
        <w:rPr>
          <w:rFonts w:asciiTheme="majorHAnsi" w:hAnsiTheme="majorHAnsi" w:cstheme="majorHAnsi"/>
          <w:b/>
          <w:bCs/>
          <w:sz w:val="28"/>
          <w:szCs w:val="28"/>
        </w:rPr>
        <w:t>11. Căn cứ pháp lý của thủ tục hành chính:</w:t>
      </w:r>
    </w:p>
    <w:p w:rsidR="00517D5E" w:rsidRPr="00E16184" w:rsidRDefault="00517D5E" w:rsidP="00E16184">
      <w:pPr>
        <w:autoSpaceDE w:val="0"/>
        <w:autoSpaceDN w:val="0"/>
        <w:adjustRightInd w:val="0"/>
        <w:spacing w:before="120" w:after="120"/>
        <w:jc w:val="both"/>
        <w:rPr>
          <w:rFonts w:asciiTheme="majorHAnsi" w:hAnsiTheme="majorHAnsi" w:cstheme="majorHAnsi"/>
          <w:sz w:val="28"/>
          <w:szCs w:val="28"/>
          <w:lang w:val="nl-NL"/>
        </w:rPr>
      </w:pPr>
      <w:r w:rsidRPr="00E16184">
        <w:rPr>
          <w:rFonts w:asciiTheme="majorHAnsi" w:hAnsiTheme="majorHAnsi" w:cstheme="majorHAnsi"/>
          <w:sz w:val="28"/>
          <w:szCs w:val="28"/>
        </w:rPr>
        <w:t xml:space="preserve">- </w:t>
      </w:r>
      <w:r w:rsidRPr="00E16184">
        <w:rPr>
          <w:rFonts w:asciiTheme="majorHAnsi" w:hAnsiTheme="majorHAnsi" w:cstheme="majorHAnsi"/>
          <w:sz w:val="28"/>
          <w:szCs w:val="28"/>
          <w:lang w:val="nl-NL"/>
        </w:rPr>
        <w:t xml:space="preserve">Nghị định số 08/2021/NĐ-CP ngày 28/01/2021 của Chính phủ về quản lý hoạt động đường thủy nội địa. </w:t>
      </w:r>
    </w:p>
    <w:p w:rsidR="00517D5E" w:rsidRPr="00E16184" w:rsidRDefault="00517D5E" w:rsidP="00E16184">
      <w:pPr>
        <w:widowControl w:val="0"/>
        <w:tabs>
          <w:tab w:val="left" w:pos="0"/>
          <w:tab w:val="left" w:pos="142"/>
          <w:tab w:val="left" w:pos="9072"/>
          <w:tab w:val="left" w:pos="9923"/>
        </w:tabs>
        <w:autoSpaceDE w:val="0"/>
        <w:autoSpaceDN w:val="0"/>
        <w:spacing w:before="120" w:after="120"/>
        <w:jc w:val="both"/>
        <w:rPr>
          <w:rFonts w:asciiTheme="majorHAnsi" w:hAnsiTheme="majorHAnsi" w:cstheme="majorHAnsi"/>
          <w:sz w:val="28"/>
          <w:szCs w:val="28"/>
          <w:lang w:val="nl-NL"/>
        </w:rPr>
      </w:pPr>
      <w:r w:rsidRPr="00E16184">
        <w:rPr>
          <w:rFonts w:asciiTheme="majorHAnsi" w:hAnsiTheme="majorHAnsi" w:cstheme="majorHAnsi"/>
          <w:sz w:val="28"/>
          <w:szCs w:val="28"/>
          <w:lang w:val="nl-NL"/>
        </w:rPr>
        <w:t>- Thông tư số 198/2016/TT-BTC ngày 08/11/2016 của Bộ Tài chính về quy định mức thu, chế độ thu, nộp, quản lý và sử dụng phí, lệ phí trong lĩnh vực đường thủy nội địa và đường sắt.</w:t>
      </w:r>
      <w:bookmarkEnd w:id="0"/>
    </w:p>
    <w:sectPr w:rsidR="00517D5E" w:rsidRPr="00E16184"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73C" w:rsidRDefault="002D673C" w:rsidP="000105B8">
      <w:r>
        <w:separator/>
      </w:r>
    </w:p>
  </w:endnote>
  <w:endnote w:type="continuationSeparator" w:id="0">
    <w:p w:rsidR="002D673C" w:rsidRDefault="002D673C"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73C" w:rsidRDefault="002D673C" w:rsidP="000105B8">
      <w:r>
        <w:separator/>
      </w:r>
    </w:p>
  </w:footnote>
  <w:footnote w:type="continuationSeparator" w:id="0">
    <w:p w:rsidR="002D673C" w:rsidRDefault="002D673C"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E16184" w:rsidRPr="00E16184">
          <w:rPr>
            <w:noProof/>
            <w:lang w:val="vi-VN"/>
          </w:rPr>
          <w:t>2</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pPr>
      <w:rPr>
        <w:rFonts w:hint="default"/>
        <w:lang w:eastAsia="en-US" w:bidi="ar-SA"/>
      </w:rPr>
    </w:lvl>
    <w:lvl w:ilvl="1">
      <w:start w:val="4"/>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3"/>
  </w:num>
  <w:num w:numId="12">
    <w:abstractNumId w:val="10"/>
  </w:num>
  <w:num w:numId="13">
    <w:abstractNumId w:val="5"/>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55058"/>
    <w:rsid w:val="002B596B"/>
    <w:rsid w:val="002C3C7E"/>
    <w:rsid w:val="002D673C"/>
    <w:rsid w:val="002F7F1A"/>
    <w:rsid w:val="00317BD3"/>
    <w:rsid w:val="00394C9A"/>
    <w:rsid w:val="003A126D"/>
    <w:rsid w:val="003B1D4A"/>
    <w:rsid w:val="003C7523"/>
    <w:rsid w:val="003E34D6"/>
    <w:rsid w:val="004004AE"/>
    <w:rsid w:val="00406140"/>
    <w:rsid w:val="004539AD"/>
    <w:rsid w:val="004D78F2"/>
    <w:rsid w:val="00517D5E"/>
    <w:rsid w:val="00552393"/>
    <w:rsid w:val="00575D66"/>
    <w:rsid w:val="00583ACB"/>
    <w:rsid w:val="005A68B5"/>
    <w:rsid w:val="005C4DC2"/>
    <w:rsid w:val="005E44C9"/>
    <w:rsid w:val="00645F4B"/>
    <w:rsid w:val="006463BB"/>
    <w:rsid w:val="0066282A"/>
    <w:rsid w:val="006D20BC"/>
    <w:rsid w:val="006D64EE"/>
    <w:rsid w:val="006F03F6"/>
    <w:rsid w:val="00753481"/>
    <w:rsid w:val="00757B64"/>
    <w:rsid w:val="007A45B3"/>
    <w:rsid w:val="008218EB"/>
    <w:rsid w:val="00863BCB"/>
    <w:rsid w:val="008C377C"/>
    <w:rsid w:val="008D6059"/>
    <w:rsid w:val="008F12BD"/>
    <w:rsid w:val="0090006A"/>
    <w:rsid w:val="00940641"/>
    <w:rsid w:val="00A60DC6"/>
    <w:rsid w:val="00A8472F"/>
    <w:rsid w:val="00A86BA4"/>
    <w:rsid w:val="00AB5D6D"/>
    <w:rsid w:val="00AC50B5"/>
    <w:rsid w:val="00AD11B7"/>
    <w:rsid w:val="00B22069"/>
    <w:rsid w:val="00B23C0E"/>
    <w:rsid w:val="00B3000F"/>
    <w:rsid w:val="00B44C7E"/>
    <w:rsid w:val="00B82F8C"/>
    <w:rsid w:val="00B937DA"/>
    <w:rsid w:val="00BB5F31"/>
    <w:rsid w:val="00BC5B1D"/>
    <w:rsid w:val="00C677BB"/>
    <w:rsid w:val="00C700D6"/>
    <w:rsid w:val="00CC3D91"/>
    <w:rsid w:val="00D12EDA"/>
    <w:rsid w:val="00D226EA"/>
    <w:rsid w:val="00D36FDE"/>
    <w:rsid w:val="00D54531"/>
    <w:rsid w:val="00DF7B16"/>
    <w:rsid w:val="00E16184"/>
    <w:rsid w:val="00E24AEC"/>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0B16E"/>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58669342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011570594">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253396050">
      <w:bodyDiv w:val="1"/>
      <w:marLeft w:val="0"/>
      <w:marRight w:val="0"/>
      <w:marTop w:val="0"/>
      <w:marBottom w:val="0"/>
      <w:divBdr>
        <w:top w:val="none" w:sz="0" w:space="0" w:color="auto"/>
        <w:left w:val="none" w:sz="0" w:space="0" w:color="auto"/>
        <w:bottom w:val="none" w:sz="0" w:space="0" w:color="auto"/>
        <w:right w:val="none" w:sz="0" w:space="0" w:color="auto"/>
      </w:divBdr>
      <w:divsChild>
        <w:div w:id="1003169843">
          <w:marLeft w:val="0"/>
          <w:marRight w:val="0"/>
          <w:marTop w:val="0"/>
          <w:marBottom w:val="30"/>
          <w:divBdr>
            <w:top w:val="none" w:sz="0" w:space="0" w:color="auto"/>
            <w:left w:val="none" w:sz="0" w:space="0" w:color="auto"/>
            <w:bottom w:val="none" w:sz="0" w:space="0" w:color="auto"/>
            <w:right w:val="none" w:sz="0" w:space="0" w:color="auto"/>
          </w:divBdr>
        </w:div>
        <w:div w:id="1370643367">
          <w:marLeft w:val="0"/>
          <w:marRight w:val="0"/>
          <w:marTop w:val="0"/>
          <w:marBottom w:val="0"/>
          <w:divBdr>
            <w:top w:val="none" w:sz="0" w:space="0" w:color="auto"/>
            <w:left w:val="none" w:sz="0" w:space="0" w:color="auto"/>
            <w:bottom w:val="none" w:sz="0" w:space="0" w:color="auto"/>
            <w:right w:val="none" w:sz="0" w:space="0" w:color="auto"/>
          </w:divBdr>
        </w:div>
        <w:div w:id="838694595">
          <w:marLeft w:val="0"/>
          <w:marRight w:val="0"/>
          <w:marTop w:val="0"/>
          <w:marBottom w:val="30"/>
          <w:divBdr>
            <w:top w:val="none" w:sz="0" w:space="0" w:color="auto"/>
            <w:left w:val="none" w:sz="0" w:space="0" w:color="auto"/>
            <w:bottom w:val="none" w:sz="0" w:space="0" w:color="auto"/>
            <w:right w:val="none" w:sz="0" w:space="0" w:color="auto"/>
          </w:divBdr>
        </w:div>
        <w:div w:id="1003439738">
          <w:marLeft w:val="0"/>
          <w:marRight w:val="0"/>
          <w:marTop w:val="0"/>
          <w:marBottom w:val="0"/>
          <w:divBdr>
            <w:top w:val="none" w:sz="0" w:space="0" w:color="auto"/>
            <w:left w:val="none" w:sz="0" w:space="0" w:color="auto"/>
            <w:bottom w:val="none" w:sz="0" w:space="0" w:color="auto"/>
            <w:right w:val="none" w:sz="0" w:space="0" w:color="auto"/>
          </w:divBdr>
        </w:div>
      </w:divsChild>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484</Words>
  <Characters>2759</Characters>
  <Application>Microsoft Office Word</Application>
  <DocSecurity>0</DocSecurity>
  <Lines>22</Lines>
  <Paragraphs>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2025-06-07T10:11:00Z</dcterms:created>
  <dcterms:modified xsi:type="dcterms:W3CDTF">2025-06-09T15:26:00Z</dcterms:modified>
</cp:coreProperties>
</file>