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CA4238" w:rsidRPr="00EF59EA" w:rsidTr="00D35E63">
        <w:tc>
          <w:tcPr>
            <w:tcW w:w="9209" w:type="dxa"/>
          </w:tcPr>
          <w:p w:rsidR="00CA4238" w:rsidRPr="00EF59EA" w:rsidRDefault="00CA4238" w:rsidP="00D35E63">
            <w:pPr>
              <w:spacing w:before="120" w:after="120"/>
              <w:rPr>
                <w:rFonts w:cs="Times New Roman"/>
                <w:b/>
                <w:color w:val="000000" w:themeColor="text1"/>
                <w:szCs w:val="28"/>
              </w:rPr>
            </w:pPr>
            <w:r w:rsidRPr="00EF59EA">
              <w:rPr>
                <w:rFonts w:cs="Times New Roman"/>
                <w:b/>
                <w:color w:val="000000" w:themeColor="text1"/>
                <w:szCs w:val="28"/>
              </w:rPr>
              <w:t>Tên TTHC</w:t>
            </w:r>
            <w:r w:rsidRPr="00AF7494">
              <w:rPr>
                <w:rFonts w:cs="Times New Roman"/>
                <w:b/>
                <w:color w:val="000000" w:themeColor="text1"/>
                <w:szCs w:val="28"/>
              </w:rPr>
              <w:t xml:space="preserve">: </w:t>
            </w:r>
            <w:r w:rsidR="00AF7494" w:rsidRPr="00AF7494">
              <w:rPr>
                <w:rFonts w:cs="Times New Roman"/>
                <w:b/>
                <w:color w:val="000000" w:themeColor="text1"/>
                <w:szCs w:val="28"/>
              </w:rPr>
              <w:t>Miễn nhiệm và thu hồi thẻ giám định viên tư pháp xây dựng ở địa phương</w:t>
            </w:r>
          </w:p>
        </w:tc>
      </w:tr>
      <w:tr w:rsidR="00CA4238" w:rsidRPr="00EF59EA" w:rsidTr="00D35E63">
        <w:tc>
          <w:tcPr>
            <w:tcW w:w="9209" w:type="dxa"/>
          </w:tcPr>
          <w:p w:rsidR="00CA4238" w:rsidRPr="00EF59EA" w:rsidRDefault="00CA4238" w:rsidP="00D35E63">
            <w:pPr>
              <w:spacing w:before="120" w:after="120"/>
              <w:rPr>
                <w:rFonts w:cs="Times New Roman"/>
                <w:b/>
                <w:color w:val="000000" w:themeColor="text1"/>
                <w:szCs w:val="28"/>
              </w:rPr>
            </w:pPr>
            <w:r w:rsidRPr="00EF59EA">
              <w:rPr>
                <w:rFonts w:cs="Times New Roman"/>
                <w:b/>
                <w:color w:val="000000" w:themeColor="text1"/>
                <w:szCs w:val="28"/>
              </w:rPr>
              <w:t xml:space="preserve">Mã TTHC : </w:t>
            </w:r>
            <w:r w:rsidR="00AF7494" w:rsidRPr="00AF7494">
              <w:rPr>
                <w:rFonts w:cs="Times New Roman"/>
                <w:color w:val="000000" w:themeColor="text1"/>
                <w:szCs w:val="28"/>
              </w:rPr>
              <w:t>1.011675.000.00.00.H35</w:t>
            </w:r>
          </w:p>
        </w:tc>
      </w:tr>
      <w:tr w:rsidR="00CA4238" w:rsidRPr="00EF59EA" w:rsidTr="00D35E63">
        <w:tc>
          <w:tcPr>
            <w:tcW w:w="9209" w:type="dxa"/>
          </w:tcPr>
          <w:p w:rsidR="00CA4238" w:rsidRPr="00EF59EA" w:rsidRDefault="00CA4238" w:rsidP="00D35E63">
            <w:pPr>
              <w:spacing w:before="120" w:after="120"/>
              <w:ind w:firstLine="567"/>
              <w:jc w:val="both"/>
              <w:rPr>
                <w:rFonts w:cs="Times New Roman"/>
                <w:b/>
                <w:color w:val="000000" w:themeColor="text1"/>
                <w:szCs w:val="28"/>
              </w:rPr>
            </w:pPr>
            <w:r w:rsidRPr="00EF59EA">
              <w:rPr>
                <w:rFonts w:cs="Times New Roman"/>
                <w:b/>
                <w:color w:val="000000" w:themeColor="text1"/>
                <w:szCs w:val="28"/>
              </w:rPr>
              <w:t>1. Trình tự thực hiện</w:t>
            </w:r>
          </w:p>
          <w:p w:rsidR="00AF7494" w:rsidRDefault="00AF7494" w:rsidP="00D35E63">
            <w:pPr>
              <w:spacing w:before="120" w:after="120"/>
              <w:ind w:firstLine="567"/>
              <w:jc w:val="both"/>
              <w:rPr>
                <w:color w:val="000000" w:themeColor="text1"/>
                <w:szCs w:val="28"/>
                <w:shd w:val="clear" w:color="auto" w:fill="FFFFFF"/>
              </w:rPr>
            </w:pPr>
            <w:r w:rsidRPr="00AF7494">
              <w:rPr>
                <w:color w:val="000000" w:themeColor="text1"/>
                <w:szCs w:val="28"/>
                <w:shd w:val="clear" w:color="auto" w:fill="FFFFFF"/>
              </w:rPr>
              <w:t>- Sở Xây dựng chủ trì phối hợp với Sở Tư pháp tiếp nhận, kiểm tra hồ sơ đề nghị miễn nhiệm và thu hồi thẻ giám định viên tư pháp, trình Chủ tịch Ủy ban nhân dân cấp tỉnh xem xét, quyết định</w:t>
            </w:r>
            <w:r>
              <w:rPr>
                <w:color w:val="000000" w:themeColor="text1"/>
                <w:szCs w:val="28"/>
                <w:shd w:val="clear" w:color="auto" w:fill="FFFFFF"/>
              </w:rPr>
              <w:t>.</w:t>
            </w:r>
          </w:p>
          <w:p w:rsidR="00AF7494" w:rsidRDefault="00AF7494" w:rsidP="00D35E63">
            <w:pPr>
              <w:spacing w:before="120" w:after="120"/>
              <w:ind w:firstLine="567"/>
              <w:jc w:val="both"/>
              <w:rPr>
                <w:color w:val="000000" w:themeColor="text1"/>
                <w:szCs w:val="28"/>
                <w:shd w:val="clear" w:color="auto" w:fill="FFFFFF"/>
              </w:rPr>
            </w:pPr>
            <w:r w:rsidRPr="00AF7494">
              <w:rPr>
                <w:color w:val="000000" w:themeColor="text1"/>
                <w:szCs w:val="28"/>
                <w:shd w:val="clear" w:color="auto" w:fill="FFFFFF"/>
              </w:rPr>
              <w:t>- Trong vòng 10 ngày kể từ khi nhận được hồ sơ hợp lệ theo quy định, Chủ tịch Ủy ban nhân dân cấp tỉnh ra quyết định miễn nhiệm và thu hồi thẻ giám định viên tư pháp xây dựng.</w:t>
            </w:r>
          </w:p>
          <w:p w:rsidR="00CA4238" w:rsidRPr="00585AC7" w:rsidRDefault="00AF7494" w:rsidP="00D35E63">
            <w:pPr>
              <w:spacing w:before="120" w:after="120"/>
              <w:ind w:firstLine="567"/>
              <w:jc w:val="both"/>
              <w:rPr>
                <w:rFonts w:ascii="Arial" w:hAnsi="Arial" w:cs="Arial"/>
                <w:color w:val="1E2F41"/>
                <w:sz w:val="27"/>
                <w:szCs w:val="27"/>
                <w:shd w:val="clear" w:color="auto" w:fill="FFFFFF"/>
              </w:rPr>
            </w:pPr>
            <w:r w:rsidRPr="00AF7494">
              <w:rPr>
                <w:color w:val="000000" w:themeColor="text1"/>
                <w:szCs w:val="28"/>
                <w:shd w:val="clear" w:color="auto" w:fill="FFFFFF"/>
              </w:rPr>
              <w:t>- Cơ quan, tổ chức quản lý giám định viên tư pháp lập hồ sơ miễn nhiệm và thu hồi thẻ giám định viên tư pháp xây dựng gửi Bộ phận tiếp nhận và trả kết quả giải quyết thủ tục hành chính của Ủy ban nhân dân cấp tỉnh</w:t>
            </w:r>
            <w:r>
              <w:rPr>
                <w:color w:val="000000" w:themeColor="text1"/>
                <w:szCs w:val="28"/>
                <w:shd w:val="clear" w:color="auto" w:fill="FFFFFF"/>
              </w:rPr>
              <w:t>.</w:t>
            </w:r>
          </w:p>
        </w:tc>
      </w:tr>
      <w:tr w:rsidR="00CA4238" w:rsidRPr="00EF59EA" w:rsidTr="00D35E63">
        <w:tc>
          <w:tcPr>
            <w:tcW w:w="9209" w:type="dxa"/>
          </w:tcPr>
          <w:p w:rsidR="00CA4238" w:rsidRPr="00EF59EA" w:rsidRDefault="00CA4238" w:rsidP="00D35E63">
            <w:pPr>
              <w:ind w:left="567"/>
              <w:rPr>
                <w:rFonts w:cs="Times New Roman"/>
                <w:b/>
                <w:color w:val="000000" w:themeColor="text1"/>
                <w:szCs w:val="28"/>
              </w:rPr>
            </w:pPr>
            <w:r>
              <w:rPr>
                <w:rFonts w:cs="Times New Roman"/>
                <w:b/>
                <w:color w:val="000000" w:themeColor="text1"/>
                <w:szCs w:val="28"/>
              </w:rPr>
              <w:t xml:space="preserve">2. </w:t>
            </w:r>
            <w:r w:rsidR="00622C2F">
              <w:rPr>
                <w:rFonts w:cs="Times New Roman"/>
                <w:b/>
                <w:color w:val="000000" w:themeColor="text1"/>
                <w:szCs w:val="28"/>
              </w:rPr>
              <w:t xml:space="preserve">Cách thức thực hiện: </w:t>
            </w:r>
            <w:r w:rsidR="00622C2F" w:rsidRPr="00622C2F">
              <w:rPr>
                <w:rFonts w:cs="Times New Roman"/>
                <w:color w:val="000000" w:themeColor="text1"/>
                <w:szCs w:val="28"/>
              </w:rPr>
              <w:t>Trực tiếp; qua bưu chính công ích; trực tuyến</w:t>
            </w:r>
          </w:p>
        </w:tc>
      </w:tr>
      <w:tr w:rsidR="00CA4238" w:rsidRPr="00EF59EA" w:rsidTr="00D35E63">
        <w:tc>
          <w:tcPr>
            <w:tcW w:w="9209" w:type="dxa"/>
          </w:tcPr>
          <w:p w:rsidR="00CA4238" w:rsidRPr="007E278C" w:rsidRDefault="00CA4238" w:rsidP="00D35E63">
            <w:pPr>
              <w:spacing w:before="120" w:after="120"/>
              <w:ind w:firstLine="567"/>
              <w:rPr>
                <w:b/>
                <w:color w:val="000000" w:themeColor="text1"/>
                <w:szCs w:val="28"/>
                <w:shd w:val="clear" w:color="auto" w:fill="FFFFFF"/>
              </w:rPr>
            </w:pPr>
            <w:r w:rsidRPr="007E278C">
              <w:rPr>
                <w:b/>
                <w:color w:val="000000" w:themeColor="text1"/>
                <w:szCs w:val="28"/>
                <w:shd w:val="clear" w:color="auto" w:fill="FFFFFF"/>
              </w:rPr>
              <w:t>3. Thành phần hồ sơ:</w:t>
            </w:r>
          </w:p>
          <w:p w:rsidR="00CA4238"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 Văn bản đề nghị miễn nhiệm giám định viên tư pháp của cơ quan, tổ chức quản lý giám định viên tư pháp hoặc đơn xin miễn nhiệm của giám định viên tư pháp (theo mẫu số 01 kèm theo Quyết định này);</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Không còn đủ tiêu chuẩn quy định tại khoản 1 Điều 7 của Luật Giám định tư pháp;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Thuộc một trong các trường hợp quy định tại khoản 2 Điều 7 của Luật Giám định tư pháp;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Bị xử lý kỷ luật từ hình thức cảnh cáo trở lên hoặc bị xử phạt vi phạm hành chính do cố ý vi phạm quy định của pháp luật về giám định tư pháp;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Thực hiện một trong các hành vi quy định tại Điều 6 của Luật Giám định tư pháp;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Chuyển đổi vị trí công tác hoặc chuyển công tác sang cơ quan, tổ chức khác mà không còn điều kiện phù hợp để tiếp tục thực hiện giám định tư pháp;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w:t>
            </w:r>
            <w:r w:rsidRPr="007E278C">
              <w:rPr>
                <w:color w:val="000000" w:themeColor="text1"/>
                <w:szCs w:val="28"/>
                <w:shd w:val="clear" w:color="auto" w:fill="FFFFFF"/>
              </w:rPr>
              <w:lastRenderedPageBreak/>
              <w:t>quan, tổ chức quản lý trực tiếp;</w:t>
            </w:r>
          </w:p>
          <w:p w:rsidR="007E278C"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tc>
      </w:tr>
      <w:tr w:rsidR="00CA4238" w:rsidRPr="00EF59EA" w:rsidTr="00D35E63">
        <w:tc>
          <w:tcPr>
            <w:tcW w:w="9209" w:type="dxa"/>
          </w:tcPr>
          <w:p w:rsidR="00CA4238" w:rsidRPr="00EF59EA" w:rsidRDefault="00CA4238" w:rsidP="00D35E63">
            <w:pPr>
              <w:ind w:left="360"/>
              <w:rPr>
                <w:rFonts w:cs="Times New Roman"/>
                <w:b/>
                <w:color w:val="000000" w:themeColor="text1"/>
                <w:szCs w:val="28"/>
              </w:rPr>
            </w:pPr>
            <w:r>
              <w:rPr>
                <w:rFonts w:cs="Times New Roman"/>
                <w:b/>
                <w:color w:val="000000" w:themeColor="text1"/>
                <w:szCs w:val="28"/>
              </w:rPr>
              <w:lastRenderedPageBreak/>
              <w:t xml:space="preserve">4. </w:t>
            </w:r>
            <w:r w:rsidRPr="00EF59EA">
              <w:rPr>
                <w:rFonts w:cs="Times New Roman"/>
                <w:b/>
                <w:color w:val="000000" w:themeColor="text1"/>
                <w:szCs w:val="28"/>
              </w:rPr>
              <w:t>Số lượng hồ sơ</w:t>
            </w:r>
            <w:r>
              <w:rPr>
                <w:rFonts w:cs="Times New Roman"/>
                <w:b/>
                <w:color w:val="000000" w:themeColor="text1"/>
                <w:szCs w:val="28"/>
              </w:rPr>
              <w:t xml:space="preserve">: </w:t>
            </w:r>
            <w:r w:rsidRPr="006E147F">
              <w:rPr>
                <w:rFonts w:cs="Times New Roman"/>
                <w:color w:val="000000" w:themeColor="text1"/>
                <w:szCs w:val="28"/>
              </w:rPr>
              <w:t>01 bộ</w:t>
            </w:r>
          </w:p>
        </w:tc>
      </w:tr>
      <w:tr w:rsidR="00CA4238" w:rsidRPr="00EF59EA" w:rsidTr="00D35E63">
        <w:tc>
          <w:tcPr>
            <w:tcW w:w="9209" w:type="dxa"/>
          </w:tcPr>
          <w:p w:rsidR="00CA4238" w:rsidRPr="00EF59EA" w:rsidRDefault="00CA4238" w:rsidP="00D35E63">
            <w:pPr>
              <w:ind w:left="360"/>
              <w:rPr>
                <w:rFonts w:cs="Times New Roman"/>
                <w:b/>
                <w:color w:val="000000" w:themeColor="text1"/>
                <w:szCs w:val="28"/>
              </w:rPr>
            </w:pPr>
            <w:r>
              <w:rPr>
                <w:rFonts w:cs="Times New Roman"/>
                <w:b/>
                <w:color w:val="000000" w:themeColor="text1"/>
                <w:szCs w:val="28"/>
              </w:rPr>
              <w:t xml:space="preserve">5. </w:t>
            </w:r>
            <w:r w:rsidRPr="00EF59EA">
              <w:rPr>
                <w:rFonts w:cs="Times New Roman"/>
                <w:b/>
                <w:color w:val="000000" w:themeColor="text1"/>
                <w:szCs w:val="28"/>
              </w:rPr>
              <w:t>Thời gian giải quyế</w:t>
            </w:r>
            <w:r>
              <w:rPr>
                <w:rFonts w:cs="Times New Roman"/>
                <w:b/>
                <w:color w:val="000000" w:themeColor="text1"/>
                <w:szCs w:val="28"/>
              </w:rPr>
              <w:t xml:space="preserve">t: </w:t>
            </w:r>
            <w:r w:rsidR="00AF7494">
              <w:rPr>
                <w:rFonts w:cs="Times New Roman"/>
                <w:color w:val="000000" w:themeColor="text1"/>
                <w:szCs w:val="28"/>
              </w:rPr>
              <w:t>1</w:t>
            </w:r>
            <w:r w:rsidRPr="006E147F">
              <w:rPr>
                <w:rFonts w:cs="Times New Roman"/>
                <w:color w:val="000000" w:themeColor="text1"/>
                <w:szCs w:val="28"/>
              </w:rPr>
              <w:t>0 ngày</w:t>
            </w:r>
          </w:p>
        </w:tc>
      </w:tr>
      <w:tr w:rsidR="00CA4238" w:rsidRPr="00EF59EA" w:rsidTr="00D35E63">
        <w:tc>
          <w:tcPr>
            <w:tcW w:w="9209" w:type="dxa"/>
          </w:tcPr>
          <w:p w:rsidR="00CA4238" w:rsidRPr="00EF59EA" w:rsidRDefault="00CA4238" w:rsidP="00D35E63">
            <w:pPr>
              <w:ind w:left="360"/>
              <w:rPr>
                <w:rFonts w:cs="Times New Roman"/>
                <w:b/>
                <w:color w:val="000000" w:themeColor="text1"/>
                <w:szCs w:val="28"/>
              </w:rPr>
            </w:pPr>
            <w:r>
              <w:rPr>
                <w:rFonts w:cs="Times New Roman"/>
                <w:b/>
                <w:color w:val="000000" w:themeColor="text1"/>
                <w:szCs w:val="28"/>
              </w:rPr>
              <w:t xml:space="preserve">6. </w:t>
            </w:r>
            <w:r w:rsidRPr="00EF59EA">
              <w:rPr>
                <w:rFonts w:cs="Times New Roman"/>
                <w:b/>
                <w:color w:val="000000" w:themeColor="text1"/>
                <w:szCs w:val="28"/>
              </w:rPr>
              <w:t>Đối tượng thực hiện</w:t>
            </w:r>
            <w:r>
              <w:rPr>
                <w:rFonts w:cs="Times New Roman"/>
                <w:b/>
                <w:color w:val="000000" w:themeColor="text1"/>
                <w:szCs w:val="28"/>
              </w:rPr>
              <w:t xml:space="preserve">: </w:t>
            </w:r>
            <w:r w:rsidRPr="006E147F">
              <w:rPr>
                <w:rFonts w:cs="Times New Roman"/>
                <w:color w:val="000000" w:themeColor="text1"/>
                <w:szCs w:val="28"/>
              </w:rPr>
              <w:t>Công dân Việt Nam</w:t>
            </w:r>
            <w:r>
              <w:rPr>
                <w:rFonts w:cs="Times New Roman"/>
                <w:color w:val="000000" w:themeColor="text1"/>
                <w:szCs w:val="28"/>
              </w:rPr>
              <w:t>; cán bộ, công chức, viên chức</w:t>
            </w:r>
          </w:p>
        </w:tc>
      </w:tr>
      <w:tr w:rsidR="00CA4238" w:rsidRPr="00EF59EA" w:rsidTr="00D35E63">
        <w:trPr>
          <w:trHeight w:val="395"/>
        </w:trPr>
        <w:tc>
          <w:tcPr>
            <w:tcW w:w="9209" w:type="dxa"/>
          </w:tcPr>
          <w:p w:rsidR="00AC3148" w:rsidRDefault="00CA4238" w:rsidP="00D35E63">
            <w:pPr>
              <w:ind w:left="360"/>
              <w:rPr>
                <w:color w:val="000000" w:themeColor="text1"/>
                <w:szCs w:val="28"/>
                <w:shd w:val="clear" w:color="auto" w:fill="FFFFFF"/>
              </w:rPr>
            </w:pPr>
            <w:r w:rsidRPr="006E147F">
              <w:rPr>
                <w:b/>
                <w:color w:val="000000" w:themeColor="text1"/>
                <w:szCs w:val="28"/>
                <w:shd w:val="clear" w:color="auto" w:fill="FFFFFF"/>
              </w:rPr>
              <w:t>7. Cơ quan thực hiện:</w:t>
            </w:r>
            <w:r w:rsidRPr="006E147F">
              <w:rPr>
                <w:color w:val="000000" w:themeColor="text1"/>
                <w:szCs w:val="28"/>
                <w:shd w:val="clear" w:color="auto" w:fill="FFFFFF"/>
              </w:rPr>
              <w:t xml:space="preserve"> </w:t>
            </w:r>
          </w:p>
          <w:p w:rsidR="00CA4238" w:rsidRDefault="00AC3148" w:rsidP="00D35E63">
            <w:pPr>
              <w:ind w:left="360"/>
              <w:rPr>
                <w:color w:val="000000" w:themeColor="text1"/>
                <w:szCs w:val="28"/>
                <w:shd w:val="clear" w:color="auto" w:fill="FFFFFF"/>
              </w:rPr>
            </w:pPr>
            <w:r>
              <w:rPr>
                <w:color w:val="000000" w:themeColor="text1"/>
                <w:szCs w:val="28"/>
                <w:shd w:val="clear" w:color="auto" w:fill="FFFFFF"/>
              </w:rPr>
              <w:t xml:space="preserve">Cơ quan thực hiện: </w:t>
            </w:r>
            <w:r w:rsidR="00CA4238">
              <w:rPr>
                <w:color w:val="000000" w:themeColor="text1"/>
                <w:szCs w:val="28"/>
                <w:shd w:val="clear" w:color="auto" w:fill="FFFFFF"/>
              </w:rPr>
              <w:t>Sở Xây dựng</w:t>
            </w:r>
          </w:p>
          <w:p w:rsidR="00AC3148" w:rsidRPr="006E147F" w:rsidRDefault="00AC3148" w:rsidP="00D35E63">
            <w:pPr>
              <w:ind w:left="360"/>
              <w:rPr>
                <w:color w:val="000000" w:themeColor="text1"/>
                <w:szCs w:val="28"/>
                <w:shd w:val="clear" w:color="auto" w:fill="FFFFFF"/>
              </w:rPr>
            </w:pPr>
            <w:r>
              <w:rPr>
                <w:color w:val="000000" w:themeColor="text1"/>
                <w:szCs w:val="28"/>
                <w:shd w:val="clear" w:color="auto" w:fill="FFFFFF"/>
              </w:rPr>
              <w:t>Cơ quan có thẩm quyền quyết định: UBND tỉnh</w:t>
            </w:r>
          </w:p>
        </w:tc>
      </w:tr>
      <w:tr w:rsidR="00CA4238" w:rsidRPr="00EF59EA" w:rsidTr="00D35E63">
        <w:tc>
          <w:tcPr>
            <w:tcW w:w="9209" w:type="dxa"/>
          </w:tcPr>
          <w:p w:rsidR="00CA4238" w:rsidRPr="00EF59EA" w:rsidRDefault="00CA4238" w:rsidP="00D35E63">
            <w:pPr>
              <w:ind w:left="360"/>
              <w:jc w:val="both"/>
              <w:rPr>
                <w:rFonts w:cs="Times New Roman"/>
                <w:b/>
                <w:color w:val="000000" w:themeColor="text1"/>
                <w:szCs w:val="28"/>
              </w:rPr>
            </w:pPr>
            <w:r>
              <w:rPr>
                <w:rFonts w:cs="Times New Roman"/>
                <w:b/>
                <w:color w:val="000000" w:themeColor="text1"/>
                <w:szCs w:val="28"/>
              </w:rPr>
              <w:t xml:space="preserve">8: </w:t>
            </w:r>
            <w:r w:rsidRPr="00EF59EA">
              <w:rPr>
                <w:rFonts w:cs="Times New Roman"/>
                <w:b/>
                <w:color w:val="000000" w:themeColor="text1"/>
                <w:szCs w:val="28"/>
              </w:rPr>
              <w:t>Mẫu đơn</w:t>
            </w:r>
            <w:r>
              <w:rPr>
                <w:rFonts w:cs="Times New Roman"/>
                <w:b/>
                <w:color w:val="000000" w:themeColor="text1"/>
                <w:szCs w:val="28"/>
              </w:rPr>
              <w:t xml:space="preserve">: </w:t>
            </w:r>
            <w:r w:rsidR="00CF6D42">
              <w:rPr>
                <w:color w:val="000000" w:themeColor="text1"/>
                <w:szCs w:val="28"/>
                <w:shd w:val="clear" w:color="auto" w:fill="FFFFFF"/>
              </w:rPr>
              <w:t>Vă</w:t>
            </w:r>
            <w:r w:rsidR="007E278C" w:rsidRPr="007E278C">
              <w:rPr>
                <w:color w:val="000000" w:themeColor="text1"/>
                <w:szCs w:val="28"/>
                <w:shd w:val="clear" w:color="auto" w:fill="FFFFFF"/>
              </w:rPr>
              <w:t>n b</w:t>
            </w:r>
            <w:r w:rsidR="00CF6D42">
              <w:rPr>
                <w:color w:val="000000" w:themeColor="text1"/>
                <w:szCs w:val="28"/>
                <w:shd w:val="clear" w:color="auto" w:fill="FFFFFF"/>
              </w:rPr>
              <w:t>ản đề</w:t>
            </w:r>
            <w:r w:rsidR="007E278C" w:rsidRPr="007E278C">
              <w:rPr>
                <w:color w:val="000000" w:themeColor="text1"/>
                <w:szCs w:val="28"/>
                <w:shd w:val="clear" w:color="auto" w:fill="FFFFFF"/>
              </w:rPr>
              <w:t xml:space="preserve"> ngh</w:t>
            </w:r>
            <w:r w:rsidR="00CF6D42">
              <w:rPr>
                <w:color w:val="000000" w:themeColor="text1"/>
                <w:szCs w:val="28"/>
                <w:shd w:val="clear" w:color="auto" w:fill="FFFFFF"/>
              </w:rPr>
              <w:t>ị</w:t>
            </w:r>
            <w:r w:rsidR="007E278C" w:rsidRPr="007E278C">
              <w:rPr>
                <w:color w:val="000000" w:themeColor="text1"/>
                <w:szCs w:val="28"/>
                <w:shd w:val="clear" w:color="auto" w:fill="FFFFFF"/>
              </w:rPr>
              <w:t xml:space="preserve"> mi</w:t>
            </w:r>
            <w:r w:rsidR="00CF6D42">
              <w:rPr>
                <w:color w:val="000000" w:themeColor="text1"/>
                <w:szCs w:val="28"/>
                <w:shd w:val="clear" w:color="auto" w:fill="FFFFFF"/>
              </w:rPr>
              <w:t>ễ</w:t>
            </w:r>
            <w:r w:rsidR="007E278C" w:rsidRPr="007E278C">
              <w:rPr>
                <w:color w:val="000000" w:themeColor="text1"/>
                <w:szCs w:val="28"/>
                <w:shd w:val="clear" w:color="auto" w:fill="FFFFFF"/>
              </w:rPr>
              <w:t>n nhi</w:t>
            </w:r>
            <w:r w:rsidR="00CF6D42">
              <w:rPr>
                <w:color w:val="000000" w:themeColor="text1"/>
                <w:szCs w:val="28"/>
                <w:shd w:val="clear" w:color="auto" w:fill="FFFFFF"/>
              </w:rPr>
              <w:t>ệ</w:t>
            </w:r>
            <w:r w:rsidR="007E278C" w:rsidRPr="007E278C">
              <w:rPr>
                <w:color w:val="000000" w:themeColor="text1"/>
                <w:szCs w:val="28"/>
                <w:shd w:val="clear" w:color="auto" w:fill="FFFFFF"/>
              </w:rPr>
              <w:t>m thu h</w:t>
            </w:r>
            <w:r w:rsidR="00CF6D42">
              <w:rPr>
                <w:color w:val="000000" w:themeColor="text1"/>
                <w:szCs w:val="28"/>
                <w:shd w:val="clear" w:color="auto" w:fill="FFFFFF"/>
              </w:rPr>
              <w:t>ồ</w:t>
            </w:r>
            <w:r w:rsidR="007E278C" w:rsidRPr="007E278C">
              <w:rPr>
                <w:color w:val="000000" w:themeColor="text1"/>
                <w:szCs w:val="28"/>
                <w:shd w:val="clear" w:color="auto" w:fill="FFFFFF"/>
              </w:rPr>
              <w:t>i th</w:t>
            </w:r>
            <w:r w:rsidR="00CF6D42">
              <w:rPr>
                <w:color w:val="000000" w:themeColor="text1"/>
                <w:szCs w:val="28"/>
                <w:shd w:val="clear" w:color="auto" w:fill="FFFFFF"/>
              </w:rPr>
              <w:t>ẻ</w:t>
            </w:r>
            <w:r w:rsidR="007E278C" w:rsidRPr="007E278C">
              <w:rPr>
                <w:color w:val="000000" w:themeColor="text1"/>
                <w:szCs w:val="28"/>
                <w:shd w:val="clear" w:color="auto" w:fill="FFFFFF"/>
              </w:rPr>
              <w:t xml:space="preserve"> gi</w:t>
            </w:r>
            <w:r w:rsidR="00CF6D42">
              <w:rPr>
                <w:color w:val="000000" w:themeColor="text1"/>
                <w:szCs w:val="28"/>
                <w:shd w:val="clear" w:color="auto" w:fill="FFFFFF"/>
              </w:rPr>
              <w:t>ám đị</w:t>
            </w:r>
            <w:r w:rsidR="007E278C" w:rsidRPr="007E278C">
              <w:rPr>
                <w:color w:val="000000" w:themeColor="text1"/>
                <w:szCs w:val="28"/>
                <w:shd w:val="clear" w:color="auto" w:fill="FFFFFF"/>
              </w:rPr>
              <w:t>nh vi</w:t>
            </w:r>
            <w:r w:rsidR="00CF6D42">
              <w:rPr>
                <w:color w:val="000000" w:themeColor="text1"/>
                <w:szCs w:val="28"/>
                <w:shd w:val="clear" w:color="auto" w:fill="FFFFFF"/>
              </w:rPr>
              <w:t>ê</w:t>
            </w:r>
            <w:r w:rsidR="007E278C" w:rsidRPr="007E278C">
              <w:rPr>
                <w:color w:val="000000" w:themeColor="text1"/>
                <w:szCs w:val="28"/>
                <w:shd w:val="clear" w:color="auto" w:fill="FFFFFF"/>
              </w:rPr>
              <w:t>n t</w:t>
            </w:r>
            <w:r w:rsidR="00CF6D42">
              <w:rPr>
                <w:color w:val="000000" w:themeColor="text1"/>
                <w:szCs w:val="28"/>
                <w:shd w:val="clear" w:color="auto" w:fill="FFFFFF"/>
              </w:rPr>
              <w:t>ư</w:t>
            </w:r>
            <w:r w:rsidR="007E278C" w:rsidRPr="007E278C">
              <w:rPr>
                <w:color w:val="000000" w:themeColor="text1"/>
                <w:szCs w:val="28"/>
                <w:shd w:val="clear" w:color="auto" w:fill="FFFFFF"/>
              </w:rPr>
              <w:t xml:space="preserve"> ph</w:t>
            </w:r>
            <w:r w:rsidR="00CF6D42">
              <w:rPr>
                <w:color w:val="000000" w:themeColor="text1"/>
                <w:szCs w:val="28"/>
                <w:shd w:val="clear" w:color="auto" w:fill="FFFFFF"/>
              </w:rPr>
              <w:t>á</w:t>
            </w:r>
            <w:r w:rsidR="007E278C" w:rsidRPr="007E278C">
              <w:rPr>
                <w:color w:val="000000" w:themeColor="text1"/>
                <w:szCs w:val="28"/>
                <w:shd w:val="clear" w:color="auto" w:fill="FFFFFF"/>
              </w:rPr>
              <w:t>p x</w:t>
            </w:r>
            <w:r w:rsidR="00CF6D42">
              <w:rPr>
                <w:color w:val="000000" w:themeColor="text1"/>
                <w:szCs w:val="28"/>
                <w:shd w:val="clear" w:color="auto" w:fill="FFFFFF"/>
              </w:rPr>
              <w:t>â</w:t>
            </w:r>
            <w:r w:rsidR="007E278C" w:rsidRPr="007E278C">
              <w:rPr>
                <w:color w:val="000000" w:themeColor="text1"/>
                <w:szCs w:val="28"/>
                <w:shd w:val="clear" w:color="auto" w:fill="FFFFFF"/>
              </w:rPr>
              <w:t>y d</w:t>
            </w:r>
            <w:r w:rsidR="00CF6D42">
              <w:rPr>
                <w:color w:val="000000" w:themeColor="text1"/>
                <w:szCs w:val="28"/>
                <w:shd w:val="clear" w:color="auto" w:fill="FFFFFF"/>
              </w:rPr>
              <w:t>ự</w:t>
            </w:r>
            <w:r w:rsidR="007E278C" w:rsidRPr="007E278C">
              <w:rPr>
                <w:color w:val="000000" w:themeColor="text1"/>
                <w:szCs w:val="28"/>
                <w:shd w:val="clear" w:color="auto" w:fill="FFFFFF"/>
              </w:rPr>
              <w:t>ng (mẫu số 01 Thông tư số 17/2021/TT-BXD ngày 22/12/2021)</w:t>
            </w:r>
            <w:r w:rsidR="007E278C">
              <w:rPr>
                <w:i/>
                <w:iCs/>
                <w:szCs w:val="28"/>
              </w:rPr>
              <w:t xml:space="preserve"> </w:t>
            </w:r>
            <w:r w:rsidR="007E278C">
              <w:rPr>
                <w:i/>
                <w:iCs/>
                <w:szCs w:val="28"/>
                <w:lang w:val="vi-VN"/>
              </w:rPr>
              <w:t xml:space="preserve"> </w:t>
            </w:r>
          </w:p>
        </w:tc>
      </w:tr>
      <w:tr w:rsidR="00CA4238" w:rsidRPr="00EF59EA" w:rsidTr="00D35E63">
        <w:tc>
          <w:tcPr>
            <w:tcW w:w="9209" w:type="dxa"/>
          </w:tcPr>
          <w:p w:rsidR="00CA4238" w:rsidRPr="00EF59EA" w:rsidRDefault="00CA4238" w:rsidP="00D35E63">
            <w:pPr>
              <w:ind w:left="360"/>
              <w:rPr>
                <w:rFonts w:cs="Times New Roman"/>
                <w:b/>
                <w:color w:val="000000" w:themeColor="text1"/>
                <w:szCs w:val="28"/>
              </w:rPr>
            </w:pPr>
            <w:r>
              <w:rPr>
                <w:rFonts w:cs="Times New Roman"/>
                <w:b/>
                <w:color w:val="000000" w:themeColor="text1"/>
                <w:szCs w:val="28"/>
              </w:rPr>
              <w:t>9: Phí/</w:t>
            </w:r>
            <w:r w:rsidRPr="00EF59EA">
              <w:rPr>
                <w:rFonts w:cs="Times New Roman"/>
                <w:b/>
                <w:color w:val="000000" w:themeColor="text1"/>
                <w:szCs w:val="28"/>
              </w:rPr>
              <w:t>Lệ</w:t>
            </w:r>
            <w:r>
              <w:rPr>
                <w:rFonts w:cs="Times New Roman"/>
                <w:b/>
                <w:color w:val="000000" w:themeColor="text1"/>
                <w:szCs w:val="28"/>
              </w:rPr>
              <w:t xml:space="preserve"> phí: </w:t>
            </w:r>
            <w:r w:rsidRPr="003333C7">
              <w:rPr>
                <w:rFonts w:cs="Times New Roman"/>
                <w:color w:val="000000" w:themeColor="text1"/>
                <w:szCs w:val="28"/>
              </w:rPr>
              <w:t>Không</w:t>
            </w:r>
          </w:p>
        </w:tc>
      </w:tr>
      <w:tr w:rsidR="00CA4238" w:rsidRPr="00EF59EA" w:rsidTr="00D35E63">
        <w:tc>
          <w:tcPr>
            <w:tcW w:w="9209" w:type="dxa"/>
          </w:tcPr>
          <w:p w:rsidR="00CA4238" w:rsidRPr="007E278C" w:rsidRDefault="00CA4238" w:rsidP="00D35E63">
            <w:pPr>
              <w:numPr>
                <w:ilvl w:val="0"/>
                <w:numId w:val="6"/>
              </w:numPr>
              <w:ind w:left="0"/>
              <w:textAlignment w:val="baseline"/>
              <w:rPr>
                <w:rFonts w:ascii="Arial" w:eastAsia="Times New Roman" w:hAnsi="Arial" w:cs="Arial"/>
                <w:color w:val="1E2F41"/>
                <w:sz w:val="21"/>
                <w:szCs w:val="21"/>
              </w:rPr>
            </w:pPr>
            <w:r>
              <w:rPr>
                <w:rFonts w:cs="Times New Roman"/>
                <w:b/>
                <w:color w:val="000000" w:themeColor="text1"/>
                <w:szCs w:val="28"/>
              </w:rPr>
              <w:t xml:space="preserve">     10. Kết quả thực hiện TTHC: </w:t>
            </w:r>
            <w:r w:rsidR="007E278C" w:rsidRPr="007E278C">
              <w:rPr>
                <w:color w:val="000000" w:themeColor="text1"/>
                <w:szCs w:val="28"/>
                <w:shd w:val="clear" w:color="auto" w:fill="FFFFFF"/>
              </w:rPr>
              <w:t>Quyết định miễn nhiệm và thu hồi thẻ giám định viên tư pháp xây dựng</w:t>
            </w:r>
          </w:p>
        </w:tc>
      </w:tr>
      <w:tr w:rsidR="00CA4238" w:rsidRPr="00F82337" w:rsidTr="00D35E63">
        <w:tc>
          <w:tcPr>
            <w:tcW w:w="9209" w:type="dxa"/>
          </w:tcPr>
          <w:p w:rsidR="00CA4238" w:rsidRPr="007E278C" w:rsidRDefault="00CA4238" w:rsidP="00D35E63">
            <w:pPr>
              <w:spacing w:before="120" w:after="120"/>
              <w:ind w:firstLine="567"/>
              <w:rPr>
                <w:b/>
                <w:color w:val="000000" w:themeColor="text1"/>
                <w:szCs w:val="28"/>
                <w:shd w:val="clear" w:color="auto" w:fill="FFFFFF"/>
              </w:rPr>
            </w:pPr>
            <w:r w:rsidRPr="007E278C">
              <w:rPr>
                <w:b/>
                <w:color w:val="000000" w:themeColor="text1"/>
                <w:szCs w:val="28"/>
                <w:shd w:val="clear" w:color="auto" w:fill="FFFFFF"/>
              </w:rPr>
              <w:t>11. Điều kiện thực hiện TTHC:</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Khoản 1 Điều 10 Luật Giám định tư pháp được sửa đổi, bổ sung tại khoản 6 Điều 1 Luật số 56/2020/QH14, cụ thể như sau: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Không còn đủ tiêu chuẩn quy định tại khoản 1 Điều 7 của Luật Giám định tư pháp;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Thuộc một trong các trường hợp quy định tại khoản 2 Điều 7 của Luật Giám định tư pháp;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Bị xử lý kỷ luật từ hình thức cảnh cáo trở lên hoặc bị xử phạt vi phạm hành chính do cố ý vi phạm quy định của pháp luật về giám định tư pháp;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Thực hiện một trong các hành vi quy định tại Điều 6 của Luật Giám định tư pháp;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 </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Chuyển đổi vị trí công tác hoặc chuyển công tác sang cơ quan, tổ chức khác mà không còn điều kiện phù hợp để tiếp tục thực hiện giám định tư pháp;</w:t>
            </w:r>
          </w:p>
          <w:p w:rsid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 </w:t>
            </w:r>
          </w:p>
          <w:p w:rsidR="00CA4238" w:rsidRPr="007E278C" w:rsidRDefault="007E278C" w:rsidP="00D35E63">
            <w:pPr>
              <w:spacing w:before="120" w:after="120"/>
              <w:ind w:firstLine="567"/>
              <w:jc w:val="both"/>
              <w:rPr>
                <w:color w:val="000000" w:themeColor="text1"/>
                <w:szCs w:val="28"/>
                <w:shd w:val="clear" w:color="auto" w:fill="FFFFFF"/>
              </w:rPr>
            </w:pPr>
            <w:r w:rsidRPr="007E278C">
              <w:rPr>
                <w:color w:val="000000" w:themeColor="text1"/>
                <w:szCs w:val="28"/>
                <w:shd w:val="clear" w:color="auto" w:fill="FFFFFF"/>
              </w:rPr>
              <w:t xml:space="preserve">+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w:t>
            </w:r>
            <w:r w:rsidRPr="007E278C">
              <w:rPr>
                <w:color w:val="000000" w:themeColor="text1"/>
                <w:szCs w:val="28"/>
                <w:shd w:val="clear" w:color="auto" w:fill="FFFFFF"/>
              </w:rPr>
              <w:lastRenderedPageBreak/>
              <w:t>phép thành lập Văn phòng mà không đăng ký hoạt động.</w:t>
            </w:r>
          </w:p>
        </w:tc>
      </w:tr>
      <w:tr w:rsidR="00CA4238" w:rsidRPr="00F82337" w:rsidTr="00D35E63">
        <w:tc>
          <w:tcPr>
            <w:tcW w:w="9209" w:type="dxa"/>
          </w:tcPr>
          <w:p w:rsidR="00CA4238" w:rsidRPr="00F82337" w:rsidRDefault="00CA4238" w:rsidP="00D35E63">
            <w:pPr>
              <w:ind w:left="360"/>
              <w:rPr>
                <w:b/>
                <w:color w:val="000000" w:themeColor="text1"/>
                <w:szCs w:val="28"/>
                <w:shd w:val="clear" w:color="auto" w:fill="FFFFFF"/>
              </w:rPr>
            </w:pPr>
            <w:r>
              <w:rPr>
                <w:b/>
                <w:color w:val="000000" w:themeColor="text1"/>
                <w:szCs w:val="28"/>
                <w:shd w:val="clear" w:color="auto" w:fill="FFFFFF"/>
              </w:rPr>
              <w:lastRenderedPageBreak/>
              <w:t>12</w:t>
            </w:r>
            <w:r w:rsidRPr="00F82337">
              <w:rPr>
                <w:b/>
                <w:color w:val="000000" w:themeColor="text1"/>
                <w:szCs w:val="28"/>
                <w:shd w:val="clear" w:color="auto" w:fill="FFFFFF"/>
              </w:rPr>
              <w:t>. Căn cứ pháp lý</w:t>
            </w:r>
          </w:p>
          <w:p w:rsidR="00CA4238" w:rsidRPr="00CA4238" w:rsidRDefault="00CA4238" w:rsidP="00D35E63">
            <w:pPr>
              <w:pStyle w:val="NormalWeb"/>
              <w:spacing w:before="120" w:beforeAutospacing="0" w:after="120" w:afterAutospacing="0"/>
              <w:ind w:firstLine="567"/>
              <w:jc w:val="both"/>
              <w:textAlignment w:val="baseline"/>
              <w:rPr>
                <w:rFonts w:eastAsiaTheme="minorHAnsi"/>
                <w:color w:val="000000" w:themeColor="text1"/>
                <w:sz w:val="28"/>
                <w:szCs w:val="28"/>
              </w:rPr>
            </w:pPr>
            <w:r>
              <w:rPr>
                <w:rFonts w:ascii="Arial" w:hAnsi="Arial" w:cs="Arial"/>
                <w:color w:val="1E2F41"/>
                <w:sz w:val="21"/>
                <w:szCs w:val="21"/>
              </w:rPr>
              <w:t xml:space="preserve">- </w:t>
            </w:r>
            <w:r w:rsidRPr="00CA4238">
              <w:rPr>
                <w:rFonts w:eastAsiaTheme="minorHAnsi"/>
                <w:color w:val="000000" w:themeColor="text1"/>
                <w:sz w:val="28"/>
                <w:szCs w:val="28"/>
              </w:rPr>
              <w:t>Luật Giám định tư pháp số 13/2012/QH13; Luật số 56/2020/QH14 sửa đổi, bổ sung một số điều của Luật Giám định tư pháp.</w:t>
            </w:r>
          </w:p>
          <w:p w:rsidR="00CA4238" w:rsidRPr="00CA4238" w:rsidRDefault="00CA4238" w:rsidP="00D35E63">
            <w:pPr>
              <w:pStyle w:val="NormalWeb"/>
              <w:spacing w:before="120" w:beforeAutospacing="0" w:after="120" w:afterAutospacing="0"/>
              <w:ind w:firstLine="567"/>
              <w:jc w:val="both"/>
              <w:textAlignment w:val="baseline"/>
              <w:rPr>
                <w:rFonts w:eastAsiaTheme="minorHAnsi"/>
                <w:color w:val="000000" w:themeColor="text1"/>
                <w:sz w:val="28"/>
                <w:szCs w:val="28"/>
              </w:rPr>
            </w:pPr>
            <w:r w:rsidRPr="00CA4238">
              <w:rPr>
                <w:rFonts w:eastAsiaTheme="minorHAnsi"/>
                <w:color w:val="000000" w:themeColor="text1"/>
                <w:sz w:val="28"/>
                <w:szCs w:val="28"/>
              </w:rPr>
              <w:t>- Nghị định số 35/2023/NĐ-CP ngày 20/6/2023 của Chính phủ sửa đổi, bổ sung một số điều của các Nghị định thuộc lĩnh vực quản lý nhà nước của Bộ Xây dựng.</w:t>
            </w:r>
          </w:p>
          <w:p w:rsidR="00CA4238" w:rsidRPr="00CA4238" w:rsidRDefault="00CA4238" w:rsidP="00D35E63">
            <w:pPr>
              <w:pStyle w:val="NormalWeb"/>
              <w:spacing w:before="120" w:beforeAutospacing="0" w:after="120" w:afterAutospacing="0"/>
              <w:ind w:firstLine="567"/>
              <w:jc w:val="both"/>
              <w:textAlignment w:val="baseline"/>
              <w:rPr>
                <w:rFonts w:eastAsiaTheme="minorHAnsi"/>
                <w:color w:val="000000" w:themeColor="text1"/>
                <w:sz w:val="28"/>
                <w:szCs w:val="28"/>
              </w:rPr>
            </w:pPr>
            <w:r w:rsidRPr="00CA4238">
              <w:rPr>
                <w:rFonts w:eastAsiaTheme="minorHAnsi"/>
                <w:color w:val="000000" w:themeColor="text1"/>
                <w:sz w:val="28"/>
                <w:szCs w:val="28"/>
              </w:rPr>
              <w:t>- Thông tư số 17/2021/TT-BXD ngày 22/12/2021 của Bộ Xây dựng quy định một số nội dung về hoạt động giám định tư pháp trong lĩnh vực xây dựng.</w:t>
            </w:r>
          </w:p>
          <w:p w:rsidR="00CA4238" w:rsidRPr="003333C7" w:rsidRDefault="00CA4238" w:rsidP="00D35E63">
            <w:pPr>
              <w:pStyle w:val="NormalWeb"/>
              <w:spacing w:before="120" w:beforeAutospacing="0" w:after="120" w:afterAutospacing="0"/>
              <w:ind w:firstLine="567"/>
              <w:jc w:val="both"/>
              <w:textAlignment w:val="baseline"/>
              <w:rPr>
                <w:rFonts w:ascii="Arial" w:hAnsi="Arial" w:cs="Arial"/>
                <w:color w:val="1E2F41"/>
                <w:sz w:val="21"/>
                <w:szCs w:val="21"/>
              </w:rPr>
            </w:pPr>
            <w:r w:rsidRPr="00CA4238">
              <w:rPr>
                <w:rFonts w:eastAsiaTheme="minorHAnsi"/>
                <w:color w:val="000000" w:themeColor="text1"/>
                <w:sz w:val="28"/>
                <w:szCs w:val="28"/>
              </w:rPr>
              <w:t>- Thông tư số 11/2020/TT-BTP ngày 31/12/2020 của Bộ Tư pháp quy định về mẫu thẻ, trình tự, thủ tục cấp mới, cấp lại thẻ giám định viên tư pháp</w:t>
            </w:r>
            <w:r w:rsidR="00CF6D42">
              <w:rPr>
                <w:rFonts w:eastAsiaTheme="minorHAnsi"/>
                <w:color w:val="000000" w:themeColor="text1"/>
                <w:sz w:val="28"/>
                <w:szCs w:val="28"/>
              </w:rPr>
              <w:t>.</w:t>
            </w:r>
          </w:p>
        </w:tc>
        <w:bookmarkStart w:id="0" w:name="_GoBack"/>
        <w:bookmarkEnd w:id="0"/>
      </w:tr>
    </w:tbl>
    <w:p w:rsidR="00AC6172" w:rsidRDefault="00AC6172" w:rsidP="00D35E63">
      <w:pPr>
        <w:spacing w:line="240" w:lineRule="auto"/>
        <w:rPr>
          <w:color w:val="000000" w:themeColor="text1"/>
          <w:szCs w:val="28"/>
          <w:shd w:val="clear" w:color="auto" w:fill="FFFFFF"/>
        </w:rPr>
      </w:pPr>
    </w:p>
    <w:sectPr w:rsidR="00AC6172" w:rsidSect="00D35E6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26" w:rsidRDefault="00884726" w:rsidP="00D35E63">
      <w:pPr>
        <w:spacing w:after="0" w:line="240" w:lineRule="auto"/>
      </w:pPr>
      <w:r>
        <w:separator/>
      </w:r>
    </w:p>
  </w:endnote>
  <w:endnote w:type="continuationSeparator" w:id="0">
    <w:p w:rsidR="00884726" w:rsidRDefault="00884726" w:rsidP="00D3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26" w:rsidRDefault="00884726" w:rsidP="00D35E63">
      <w:pPr>
        <w:spacing w:after="0" w:line="240" w:lineRule="auto"/>
      </w:pPr>
      <w:r>
        <w:separator/>
      </w:r>
    </w:p>
  </w:footnote>
  <w:footnote w:type="continuationSeparator" w:id="0">
    <w:p w:rsidR="00884726" w:rsidRDefault="00884726" w:rsidP="00D35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228"/>
      <w:docPartObj>
        <w:docPartGallery w:val="Page Numbers (Top of Page)"/>
        <w:docPartUnique/>
      </w:docPartObj>
    </w:sdtPr>
    <w:sdtEndPr>
      <w:rPr>
        <w:noProof/>
      </w:rPr>
    </w:sdtEndPr>
    <w:sdtContent>
      <w:p w:rsidR="00D35E63" w:rsidRDefault="00D35E6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D35E63" w:rsidRDefault="00D35E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D07"/>
    <w:multiLevelType w:val="multilevel"/>
    <w:tmpl w:val="D65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03C8C"/>
    <w:multiLevelType w:val="multilevel"/>
    <w:tmpl w:val="309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D34E2"/>
    <w:multiLevelType w:val="multilevel"/>
    <w:tmpl w:val="F94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60AB8"/>
    <w:multiLevelType w:val="hybridMultilevel"/>
    <w:tmpl w:val="FE46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F3D23"/>
    <w:multiLevelType w:val="multilevel"/>
    <w:tmpl w:val="5B2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2716C"/>
    <w:multiLevelType w:val="hybridMultilevel"/>
    <w:tmpl w:val="821AA3A0"/>
    <w:lvl w:ilvl="0" w:tplc="B92A11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66"/>
    <w:rsid w:val="001B1CA5"/>
    <w:rsid w:val="001D08BA"/>
    <w:rsid w:val="002A58E9"/>
    <w:rsid w:val="002C4AD2"/>
    <w:rsid w:val="003333C7"/>
    <w:rsid w:val="003A3450"/>
    <w:rsid w:val="004F67C8"/>
    <w:rsid w:val="00585AC7"/>
    <w:rsid w:val="00622C2F"/>
    <w:rsid w:val="00641635"/>
    <w:rsid w:val="006E147F"/>
    <w:rsid w:val="00773B65"/>
    <w:rsid w:val="007747B4"/>
    <w:rsid w:val="007A25AE"/>
    <w:rsid w:val="007E04AB"/>
    <w:rsid w:val="007E278C"/>
    <w:rsid w:val="00884726"/>
    <w:rsid w:val="008F444A"/>
    <w:rsid w:val="00AC3148"/>
    <w:rsid w:val="00AC6172"/>
    <w:rsid w:val="00AF5F66"/>
    <w:rsid w:val="00AF7494"/>
    <w:rsid w:val="00B55977"/>
    <w:rsid w:val="00CA4238"/>
    <w:rsid w:val="00CD4A02"/>
    <w:rsid w:val="00CF6D42"/>
    <w:rsid w:val="00CF72C8"/>
    <w:rsid w:val="00D26CD0"/>
    <w:rsid w:val="00D35E63"/>
    <w:rsid w:val="00E00037"/>
    <w:rsid w:val="00E34F17"/>
    <w:rsid w:val="00E815EF"/>
    <w:rsid w:val="00EF59EA"/>
    <w:rsid w:val="00F82337"/>
    <w:rsid w:val="00FF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BA72"/>
  <w15:docId w15:val="{1A1CD3A9-7EA3-4847-A8C8-F01AD3AE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F17"/>
    <w:pPr>
      <w:ind w:left="720"/>
      <w:contextualSpacing/>
    </w:pPr>
  </w:style>
  <w:style w:type="character" w:customStyle="1" w:styleId="fontstyle01">
    <w:name w:val="fontstyle01"/>
    <w:rsid w:val="00D26CD0"/>
    <w:rPr>
      <w:rFonts w:ascii="Times New Roman" w:hAnsi="Times New Roman" w:cs="Times New Roman" w:hint="default"/>
      <w:b w:val="0"/>
      <w:bCs w:val="0"/>
      <w:i/>
      <w:iCs/>
      <w:color w:val="000000"/>
      <w:sz w:val="28"/>
      <w:szCs w:val="28"/>
    </w:rPr>
  </w:style>
  <w:style w:type="character" w:customStyle="1" w:styleId="fontstyle21">
    <w:name w:val="fontstyle21"/>
    <w:rsid w:val="00D26CD0"/>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6E147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35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63"/>
  </w:style>
  <w:style w:type="paragraph" w:styleId="Footer">
    <w:name w:val="footer"/>
    <w:basedOn w:val="Normal"/>
    <w:link w:val="FooterChar"/>
    <w:uiPriority w:val="99"/>
    <w:unhideWhenUsed/>
    <w:rsid w:val="00D35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958">
      <w:bodyDiv w:val="1"/>
      <w:marLeft w:val="0"/>
      <w:marRight w:val="0"/>
      <w:marTop w:val="0"/>
      <w:marBottom w:val="0"/>
      <w:divBdr>
        <w:top w:val="none" w:sz="0" w:space="0" w:color="auto"/>
        <w:left w:val="none" w:sz="0" w:space="0" w:color="auto"/>
        <w:bottom w:val="none" w:sz="0" w:space="0" w:color="auto"/>
        <w:right w:val="none" w:sz="0" w:space="0" w:color="auto"/>
      </w:divBdr>
    </w:div>
    <w:div w:id="13197305">
      <w:bodyDiv w:val="1"/>
      <w:marLeft w:val="0"/>
      <w:marRight w:val="0"/>
      <w:marTop w:val="0"/>
      <w:marBottom w:val="0"/>
      <w:divBdr>
        <w:top w:val="none" w:sz="0" w:space="0" w:color="auto"/>
        <w:left w:val="none" w:sz="0" w:space="0" w:color="auto"/>
        <w:bottom w:val="none" w:sz="0" w:space="0" w:color="auto"/>
        <w:right w:val="none" w:sz="0" w:space="0" w:color="auto"/>
      </w:divBdr>
    </w:div>
    <w:div w:id="996031559">
      <w:bodyDiv w:val="1"/>
      <w:marLeft w:val="0"/>
      <w:marRight w:val="0"/>
      <w:marTop w:val="0"/>
      <w:marBottom w:val="0"/>
      <w:divBdr>
        <w:top w:val="none" w:sz="0" w:space="0" w:color="auto"/>
        <w:left w:val="none" w:sz="0" w:space="0" w:color="auto"/>
        <w:bottom w:val="none" w:sz="0" w:space="0" w:color="auto"/>
        <w:right w:val="none" w:sz="0" w:space="0" w:color="auto"/>
      </w:divBdr>
    </w:div>
    <w:div w:id="1280600132">
      <w:bodyDiv w:val="1"/>
      <w:marLeft w:val="0"/>
      <w:marRight w:val="0"/>
      <w:marTop w:val="0"/>
      <w:marBottom w:val="0"/>
      <w:divBdr>
        <w:top w:val="none" w:sz="0" w:space="0" w:color="auto"/>
        <w:left w:val="none" w:sz="0" w:space="0" w:color="auto"/>
        <w:bottom w:val="none" w:sz="0" w:space="0" w:color="auto"/>
        <w:right w:val="none" w:sz="0" w:space="0" w:color="auto"/>
      </w:divBdr>
    </w:div>
    <w:div w:id="1670140050">
      <w:bodyDiv w:val="1"/>
      <w:marLeft w:val="0"/>
      <w:marRight w:val="0"/>
      <w:marTop w:val="0"/>
      <w:marBottom w:val="0"/>
      <w:divBdr>
        <w:top w:val="none" w:sz="0" w:space="0" w:color="auto"/>
        <w:left w:val="none" w:sz="0" w:space="0" w:color="auto"/>
        <w:bottom w:val="none" w:sz="0" w:space="0" w:color="auto"/>
        <w:right w:val="none" w:sz="0" w:space="0" w:color="auto"/>
      </w:divBdr>
    </w:div>
    <w:div w:id="1858428002">
      <w:bodyDiv w:val="1"/>
      <w:marLeft w:val="0"/>
      <w:marRight w:val="0"/>
      <w:marTop w:val="0"/>
      <w:marBottom w:val="0"/>
      <w:divBdr>
        <w:top w:val="none" w:sz="0" w:space="0" w:color="auto"/>
        <w:left w:val="none" w:sz="0" w:space="0" w:color="auto"/>
        <w:bottom w:val="none" w:sz="0" w:space="0" w:color="auto"/>
        <w:right w:val="none" w:sz="0" w:space="0" w:color="auto"/>
      </w:divBdr>
    </w:div>
    <w:div w:id="20651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36F8-41CF-4409-970B-F44AFF08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2025-05-26T15:00:00Z</dcterms:created>
  <dcterms:modified xsi:type="dcterms:W3CDTF">2025-06-07T15:28:00Z</dcterms:modified>
</cp:coreProperties>
</file>