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A73" w:rsidRPr="00866CA4" w:rsidRDefault="004A7A73" w:rsidP="00866CA4">
      <w:pPr>
        <w:spacing w:before="120" w:after="120" w:line="245" w:lineRule="auto"/>
        <w:ind w:firstLine="720"/>
        <w:jc w:val="both"/>
        <w:rPr>
          <w:b/>
          <w:sz w:val="28"/>
          <w:szCs w:val="28"/>
          <w:lang w:val="it-IT"/>
        </w:rPr>
      </w:pPr>
      <w:bookmarkStart w:id="0" w:name="_GoBack"/>
      <w:bookmarkEnd w:id="0"/>
      <w:r w:rsidRPr="00866CA4">
        <w:rPr>
          <w:b/>
          <w:sz w:val="28"/>
          <w:szCs w:val="28"/>
          <w:lang w:val="it-IT"/>
        </w:rPr>
        <w:t xml:space="preserve">Thủ tục công bố hợp quy sản phẩm, hàng hóa vật liệu xây dựng  </w:t>
      </w:r>
    </w:p>
    <w:p w:rsidR="00F07681" w:rsidRPr="00F07681" w:rsidRDefault="00F07681" w:rsidP="00F07681">
      <w:pPr>
        <w:spacing w:before="120" w:after="120" w:line="245" w:lineRule="auto"/>
        <w:ind w:left="720"/>
        <w:jc w:val="both"/>
        <w:rPr>
          <w:b/>
          <w:sz w:val="28"/>
          <w:szCs w:val="28"/>
          <w:lang w:val="it-IT"/>
        </w:rPr>
      </w:pPr>
      <w:r>
        <w:rPr>
          <w:b/>
          <w:sz w:val="28"/>
          <w:szCs w:val="28"/>
          <w:lang w:val="it-IT"/>
        </w:rPr>
        <w:t xml:space="preserve">Mã TTHC: </w:t>
      </w:r>
      <w:r w:rsidRPr="00F07681">
        <w:rPr>
          <w:b/>
          <w:sz w:val="28"/>
          <w:szCs w:val="28"/>
          <w:lang w:val="it-IT"/>
        </w:rPr>
        <w:t>1.006871.000.00.00.H35</w:t>
      </w:r>
    </w:p>
    <w:p w:rsidR="004A7A73" w:rsidRPr="00F07681" w:rsidRDefault="004A7A73" w:rsidP="00F07681">
      <w:pPr>
        <w:spacing w:before="120" w:after="120"/>
        <w:ind w:firstLine="720"/>
        <w:jc w:val="both"/>
        <w:rPr>
          <w:b/>
          <w:i/>
          <w:sz w:val="28"/>
          <w:szCs w:val="28"/>
          <w:lang w:val="pl-PL"/>
        </w:rPr>
      </w:pPr>
      <w:r w:rsidRPr="00F07681">
        <w:rPr>
          <w:b/>
          <w:i/>
          <w:sz w:val="28"/>
          <w:szCs w:val="28"/>
        </w:rPr>
        <w:t>1</w:t>
      </w:r>
      <w:r w:rsidRPr="00F07681">
        <w:rPr>
          <w:b/>
          <w:i/>
          <w:sz w:val="28"/>
          <w:szCs w:val="28"/>
          <w:lang w:val="vi-VN"/>
        </w:rPr>
        <w:t xml:space="preserve"> Trình tự thực hiện:</w:t>
      </w:r>
    </w:p>
    <w:p w:rsidR="004A7A73" w:rsidRPr="00F07681" w:rsidRDefault="004A7A73" w:rsidP="00F07681">
      <w:pPr>
        <w:spacing w:before="120" w:after="120"/>
        <w:ind w:firstLine="720"/>
        <w:jc w:val="both"/>
        <w:rPr>
          <w:sz w:val="28"/>
          <w:szCs w:val="28"/>
          <w:lang w:val="pl-PL"/>
        </w:rPr>
      </w:pPr>
      <w:r w:rsidRPr="00F07681">
        <w:rPr>
          <w:sz w:val="28"/>
          <w:szCs w:val="28"/>
          <w:lang w:val="pl-PL"/>
        </w:rPr>
        <w:t xml:space="preserve">- </w:t>
      </w:r>
      <w:r w:rsidRPr="00F07681">
        <w:rPr>
          <w:sz w:val="28"/>
          <w:szCs w:val="28"/>
          <w:lang w:val="vi-VN"/>
        </w:rPr>
        <w:t xml:space="preserve">Tổ chức, cá nhân công bố hợp quy nộp trực tiếp hoặc gửi hồ sơ công bố hợp quy qua </w:t>
      </w:r>
      <w:r w:rsidRPr="00F07681">
        <w:rPr>
          <w:sz w:val="28"/>
          <w:szCs w:val="28"/>
        </w:rPr>
        <w:t>dịch vụ</w:t>
      </w:r>
      <w:r w:rsidRPr="00F07681">
        <w:rPr>
          <w:sz w:val="28"/>
          <w:szCs w:val="28"/>
          <w:lang w:val="vi-VN"/>
        </w:rPr>
        <w:t xml:space="preserve"> bưu điện theo quy định tới Sở Xây dựng tại t</w:t>
      </w:r>
      <w:r w:rsidRPr="00F07681">
        <w:rPr>
          <w:sz w:val="28"/>
          <w:szCs w:val="28"/>
          <w:lang w:val="pl-PL"/>
        </w:rPr>
        <w:t>ỉ</w:t>
      </w:r>
      <w:r w:rsidRPr="00F07681">
        <w:rPr>
          <w:sz w:val="28"/>
          <w:szCs w:val="28"/>
          <w:lang w:val="vi-VN"/>
        </w:rPr>
        <w:t>nh, thành phố trực thuộc Trung ương nơi tổ chức, cá nhân công bố hợp quy đăng ký kinh doanh.</w:t>
      </w:r>
    </w:p>
    <w:p w:rsidR="004A7A73" w:rsidRPr="00F07681" w:rsidRDefault="004A7A73" w:rsidP="00F07681">
      <w:pPr>
        <w:spacing w:before="120" w:after="120"/>
        <w:ind w:firstLine="720"/>
        <w:jc w:val="both"/>
        <w:rPr>
          <w:sz w:val="28"/>
          <w:szCs w:val="28"/>
          <w:lang w:val="pl-PL"/>
        </w:rPr>
      </w:pPr>
      <w:r w:rsidRPr="00F07681">
        <w:rPr>
          <w:sz w:val="28"/>
          <w:szCs w:val="28"/>
          <w:lang w:val="pl-PL"/>
        </w:rPr>
        <w:t>- T</w:t>
      </w:r>
      <w:r w:rsidRPr="00F07681">
        <w:rPr>
          <w:sz w:val="28"/>
          <w:szCs w:val="28"/>
          <w:lang w:val="vi-VN"/>
        </w:rPr>
        <w:t>rong thời gian 05 (năm) ngày làm việc kể từ ngày nhận được hồ sơ công bố hợp quy, Sở Xây dựng tổ chức kiểm tra tính hợp lệ của hồ sơ công bố hợp quy.</w:t>
      </w:r>
    </w:p>
    <w:p w:rsidR="004A7A73" w:rsidRPr="00F07681" w:rsidRDefault="004A7A73" w:rsidP="00F07681">
      <w:pPr>
        <w:pStyle w:val="BodyTextIndent2"/>
        <w:spacing w:before="120" w:line="240" w:lineRule="auto"/>
        <w:ind w:left="0" w:firstLine="720"/>
        <w:jc w:val="both"/>
        <w:rPr>
          <w:sz w:val="28"/>
          <w:szCs w:val="28"/>
          <w:lang w:val="pl-PL"/>
        </w:rPr>
      </w:pPr>
      <w:r w:rsidRPr="00F07681">
        <w:rPr>
          <w:sz w:val="28"/>
          <w:szCs w:val="28"/>
          <w:lang w:val="pl-PL"/>
        </w:rPr>
        <w:t xml:space="preserve">- </w:t>
      </w:r>
      <w:r w:rsidRPr="00F07681">
        <w:rPr>
          <w:sz w:val="28"/>
          <w:szCs w:val="28"/>
          <w:lang w:val="vi-VN"/>
        </w:rPr>
        <w:t>Trường hợp hồ sơ công bố hợp quy hợp lệ, Sở Xây dựng ban hành Thông báo tiếp nhận hồ sơ công bố hợp quy cho tổ chức, cá nhân công bố hợp quy theo M</w:t>
      </w:r>
      <w:r w:rsidRPr="00F07681">
        <w:rPr>
          <w:sz w:val="28"/>
          <w:szCs w:val="28"/>
          <w:lang w:val="pl-PL"/>
        </w:rPr>
        <w:t>ẫ</w:t>
      </w:r>
      <w:r w:rsidRPr="00F07681">
        <w:rPr>
          <w:sz w:val="28"/>
          <w:szCs w:val="28"/>
          <w:lang w:val="vi-VN"/>
        </w:rPr>
        <w:t xml:space="preserve">u 3. TBTNHS, Thông tư </w:t>
      </w:r>
      <w:r w:rsidRPr="00F07681">
        <w:rPr>
          <w:sz w:val="28"/>
          <w:szCs w:val="28"/>
          <w:lang w:val="en-US"/>
        </w:rPr>
        <w:t xml:space="preserve"> số </w:t>
      </w:r>
      <w:r w:rsidRPr="00F07681">
        <w:rPr>
          <w:sz w:val="28"/>
          <w:szCs w:val="28"/>
          <w:lang w:val="vi-VN"/>
        </w:rPr>
        <w:t>28/2012/TT-BKHCN ngày 12/12/2012</w:t>
      </w:r>
      <w:r w:rsidRPr="00F07681">
        <w:rPr>
          <w:sz w:val="28"/>
          <w:szCs w:val="28"/>
          <w:lang w:val="pl-PL"/>
        </w:rPr>
        <w:t xml:space="preserve"> của Bộ Khoa học và Công nghệ quy định về công bố hợp chuẩn, công bố hợp quy và phương thức đánh giá sự phù hợp với tiêu chuẩn, quy chuẩn kỹ thuật;</w:t>
      </w:r>
    </w:p>
    <w:p w:rsidR="004A7A73" w:rsidRPr="00F07681" w:rsidRDefault="004A7A73" w:rsidP="00F07681">
      <w:pPr>
        <w:spacing w:before="120" w:after="120"/>
        <w:ind w:firstLine="720"/>
        <w:jc w:val="both"/>
        <w:rPr>
          <w:sz w:val="28"/>
          <w:szCs w:val="28"/>
          <w:lang w:val="vi-VN"/>
        </w:rPr>
      </w:pPr>
      <w:r w:rsidRPr="00F07681">
        <w:rPr>
          <w:sz w:val="28"/>
          <w:szCs w:val="28"/>
          <w:lang w:val="vi-VN"/>
        </w:rPr>
        <w:t>- Trường hợp hồ sơ công bố hợp quy không hợp lệ, Sở Xây dựng ban hành Thông báo bằng văn bản cho tổ chức, cá nhân công bố hợp quy về lý do không tiếp nhận hồ sơ.</w:t>
      </w:r>
    </w:p>
    <w:p w:rsidR="004A7A73" w:rsidRPr="00866CA4" w:rsidRDefault="00866CA4" w:rsidP="00866CA4">
      <w:pPr>
        <w:pStyle w:val="BodyTextIndent"/>
        <w:widowControl w:val="0"/>
        <w:tabs>
          <w:tab w:val="left" w:pos="680"/>
        </w:tabs>
        <w:spacing w:before="120"/>
        <w:jc w:val="both"/>
        <w:rPr>
          <w:sz w:val="28"/>
          <w:szCs w:val="28"/>
          <w:lang w:val="vi-VN"/>
        </w:rPr>
      </w:pPr>
      <w:r>
        <w:rPr>
          <w:b/>
          <w:i/>
          <w:sz w:val="28"/>
          <w:szCs w:val="28"/>
          <w:lang w:val="en-US"/>
        </w:rPr>
        <w:tab/>
      </w:r>
      <w:r w:rsidR="004A7A73" w:rsidRPr="00F07681">
        <w:rPr>
          <w:b/>
          <w:i/>
          <w:sz w:val="28"/>
          <w:szCs w:val="28"/>
          <w:lang w:val="vi-VN"/>
        </w:rPr>
        <w:t>2. Cách thức thực hiện:</w:t>
      </w:r>
      <w:r>
        <w:rPr>
          <w:b/>
          <w:i/>
          <w:sz w:val="28"/>
          <w:szCs w:val="28"/>
          <w:lang w:val="en-US"/>
        </w:rPr>
        <w:t xml:space="preserve"> </w:t>
      </w:r>
      <w:r w:rsidRPr="00866CA4">
        <w:rPr>
          <w:sz w:val="28"/>
          <w:szCs w:val="28"/>
          <w:lang w:val="en-US"/>
        </w:rPr>
        <w:t>Nộp</w:t>
      </w:r>
      <w:r>
        <w:rPr>
          <w:b/>
          <w:i/>
          <w:sz w:val="28"/>
          <w:szCs w:val="28"/>
          <w:lang w:val="en-US"/>
        </w:rPr>
        <w:t xml:space="preserve"> </w:t>
      </w:r>
      <w:r>
        <w:rPr>
          <w:sz w:val="28"/>
          <w:szCs w:val="28"/>
          <w:lang w:val="it-IT"/>
        </w:rPr>
        <w:t>t</w:t>
      </w:r>
      <w:r w:rsidR="004A7A73" w:rsidRPr="00F07681">
        <w:rPr>
          <w:sz w:val="28"/>
          <w:szCs w:val="28"/>
          <w:lang w:val="it-IT"/>
        </w:rPr>
        <w:t>rực tiếp</w:t>
      </w:r>
      <w:r>
        <w:rPr>
          <w:sz w:val="28"/>
          <w:szCs w:val="28"/>
          <w:lang w:val="it-IT"/>
        </w:rPr>
        <w:t>;</w:t>
      </w:r>
      <w:r w:rsidR="004A7A73" w:rsidRPr="00F07681">
        <w:rPr>
          <w:sz w:val="28"/>
          <w:szCs w:val="28"/>
          <w:lang w:val="it-IT"/>
        </w:rPr>
        <w:t xml:space="preserve"> </w:t>
      </w:r>
      <w:r>
        <w:rPr>
          <w:bCs/>
          <w:iCs/>
          <w:sz w:val="28"/>
          <w:szCs w:val="28"/>
          <w:lang w:val="vi-VN"/>
        </w:rPr>
        <w:t>t</w:t>
      </w:r>
      <w:r w:rsidR="004A7A73" w:rsidRPr="00F07681">
        <w:rPr>
          <w:bCs/>
          <w:iCs/>
          <w:sz w:val="28"/>
          <w:szCs w:val="28"/>
          <w:lang w:val="vi-VN"/>
        </w:rPr>
        <w:t>hông qua dịch vụ bưu chính;</w:t>
      </w:r>
      <w:r>
        <w:rPr>
          <w:bCs/>
          <w:iCs/>
          <w:sz w:val="28"/>
          <w:szCs w:val="28"/>
          <w:lang w:val="en-US"/>
        </w:rPr>
        <w:t xml:space="preserve"> </w:t>
      </w:r>
      <w:r>
        <w:rPr>
          <w:bCs/>
          <w:iCs/>
          <w:sz w:val="28"/>
          <w:szCs w:val="28"/>
          <w:lang w:val="vi-VN"/>
        </w:rPr>
        <w:t>t</w:t>
      </w:r>
      <w:r w:rsidR="004A7A73" w:rsidRPr="00F07681">
        <w:rPr>
          <w:bCs/>
          <w:iCs/>
          <w:sz w:val="28"/>
          <w:szCs w:val="28"/>
          <w:lang w:val="vi-VN"/>
        </w:rPr>
        <w:t>rực tuyến trên cổng dịch vụ công.</w:t>
      </w:r>
    </w:p>
    <w:p w:rsidR="004A7A73" w:rsidRPr="00F07681" w:rsidRDefault="004A7A73" w:rsidP="00866CA4">
      <w:pPr>
        <w:spacing w:before="120" w:after="120"/>
        <w:ind w:firstLine="720"/>
        <w:jc w:val="both"/>
        <w:rPr>
          <w:b/>
          <w:i/>
          <w:sz w:val="28"/>
          <w:szCs w:val="28"/>
          <w:lang w:val="vi-VN"/>
        </w:rPr>
      </w:pPr>
      <w:r w:rsidRPr="00F07681">
        <w:rPr>
          <w:b/>
          <w:i/>
          <w:sz w:val="28"/>
          <w:szCs w:val="28"/>
          <w:lang w:val="vi-VN"/>
        </w:rPr>
        <w:t xml:space="preserve">3. Thành phần hồ sơ: </w:t>
      </w:r>
    </w:p>
    <w:p w:rsidR="004A7A73" w:rsidRPr="00F07681" w:rsidRDefault="004A7A73" w:rsidP="00F07681">
      <w:pPr>
        <w:spacing w:before="120" w:after="120"/>
        <w:ind w:firstLine="720"/>
        <w:jc w:val="both"/>
        <w:rPr>
          <w:sz w:val="28"/>
          <w:szCs w:val="28"/>
          <w:lang w:val="vi-VN"/>
        </w:rPr>
      </w:pPr>
      <w:r w:rsidRPr="00F07681">
        <w:rPr>
          <w:sz w:val="28"/>
          <w:szCs w:val="28"/>
          <w:lang w:val="vi-VN"/>
        </w:rPr>
        <w:t xml:space="preserve">- Bản công bố hợp quy theo Mẫu 02. CBHC/HQ, Thông tư </w:t>
      </w:r>
      <w:r w:rsidRPr="00F07681">
        <w:rPr>
          <w:sz w:val="28"/>
          <w:szCs w:val="28"/>
        </w:rPr>
        <w:t xml:space="preserve">số </w:t>
      </w:r>
      <w:r w:rsidRPr="00F07681">
        <w:rPr>
          <w:sz w:val="28"/>
          <w:szCs w:val="28"/>
          <w:lang w:val="vi-VN"/>
        </w:rPr>
        <w:t>28/2012/TT-BKHCN ngày 12/12/2012.</w:t>
      </w:r>
    </w:p>
    <w:p w:rsidR="004A7A73" w:rsidRPr="00F07681" w:rsidRDefault="004A7A73" w:rsidP="00F07681">
      <w:pPr>
        <w:spacing w:before="120" w:after="120"/>
        <w:ind w:firstLine="720"/>
        <w:jc w:val="both"/>
        <w:rPr>
          <w:sz w:val="28"/>
          <w:szCs w:val="28"/>
          <w:lang w:val="vi-VN"/>
        </w:rPr>
      </w:pPr>
      <w:r w:rsidRPr="00F07681">
        <w:rPr>
          <w:sz w:val="28"/>
          <w:szCs w:val="28"/>
          <w:lang w:val="vi-VN"/>
        </w:rPr>
        <w:t>- Bản sao y bản chính Giấy chứng nhận hợp quy kèm theo mẫu dấu hợp quy do tổ chức chứng nhận hợp quy cấp cho tổ chức, cá nhân.</w:t>
      </w:r>
    </w:p>
    <w:p w:rsidR="004A7A73" w:rsidRPr="00F07681" w:rsidRDefault="004A7A73" w:rsidP="00866CA4">
      <w:pPr>
        <w:spacing w:before="120" w:after="120"/>
        <w:ind w:firstLine="720"/>
        <w:jc w:val="both"/>
        <w:rPr>
          <w:b/>
          <w:i/>
          <w:sz w:val="28"/>
          <w:szCs w:val="28"/>
          <w:lang w:val="vi-VN"/>
        </w:rPr>
      </w:pPr>
      <w:r w:rsidRPr="00F07681">
        <w:rPr>
          <w:b/>
          <w:i/>
          <w:sz w:val="28"/>
          <w:szCs w:val="28"/>
          <w:lang w:val="vi-VN"/>
        </w:rPr>
        <w:t>4. Số lượng hồ sơ</w:t>
      </w:r>
      <w:r w:rsidR="00866CA4">
        <w:rPr>
          <w:b/>
          <w:i/>
          <w:sz w:val="28"/>
          <w:szCs w:val="28"/>
        </w:rPr>
        <w:t xml:space="preserve">: </w:t>
      </w:r>
      <w:r w:rsidRPr="00F07681">
        <w:rPr>
          <w:sz w:val="28"/>
          <w:szCs w:val="28"/>
          <w:lang w:val="vi-VN"/>
        </w:rPr>
        <w:t>01 bộ</w:t>
      </w:r>
    </w:p>
    <w:p w:rsidR="004A7A73" w:rsidRPr="00F07681" w:rsidRDefault="004A7A73" w:rsidP="00866CA4">
      <w:pPr>
        <w:spacing w:before="120" w:after="120"/>
        <w:ind w:firstLine="720"/>
        <w:jc w:val="both"/>
        <w:rPr>
          <w:sz w:val="28"/>
          <w:szCs w:val="28"/>
          <w:lang w:val="vi-VN"/>
        </w:rPr>
      </w:pPr>
      <w:r w:rsidRPr="00F07681">
        <w:rPr>
          <w:b/>
          <w:i/>
          <w:sz w:val="28"/>
          <w:szCs w:val="28"/>
          <w:lang w:val="vi-VN"/>
        </w:rPr>
        <w:t>5.Thời hạn giải quyết:</w:t>
      </w:r>
      <w:r w:rsidR="00866CA4">
        <w:rPr>
          <w:sz w:val="28"/>
          <w:szCs w:val="28"/>
        </w:rPr>
        <w:t xml:space="preserve"> </w:t>
      </w:r>
      <w:r w:rsidRPr="00F07681">
        <w:rPr>
          <w:sz w:val="28"/>
          <w:szCs w:val="28"/>
          <w:lang w:val="vi-VN"/>
        </w:rPr>
        <w:t>Trong thời gian 05 (năm) ngày làm việc kể từ ngày nhận được hồ sơ công bố hợp quy</w:t>
      </w:r>
      <w:r w:rsidRPr="00F07681">
        <w:rPr>
          <w:sz w:val="28"/>
          <w:szCs w:val="28"/>
        </w:rPr>
        <w:t>.</w:t>
      </w:r>
    </w:p>
    <w:p w:rsidR="004A7A73" w:rsidRPr="00866CA4" w:rsidRDefault="004A7A73" w:rsidP="00866CA4">
      <w:pPr>
        <w:spacing w:before="120" w:after="120"/>
        <w:ind w:firstLine="720"/>
        <w:jc w:val="both"/>
        <w:rPr>
          <w:sz w:val="28"/>
          <w:szCs w:val="28"/>
          <w:lang w:val="vi-VN"/>
        </w:rPr>
      </w:pPr>
      <w:r w:rsidRPr="00F07681">
        <w:rPr>
          <w:b/>
          <w:i/>
          <w:sz w:val="28"/>
          <w:szCs w:val="28"/>
          <w:lang w:val="vi-VN"/>
        </w:rPr>
        <w:t>6.</w:t>
      </w:r>
      <w:r w:rsidRPr="00F07681">
        <w:rPr>
          <w:b/>
          <w:i/>
          <w:sz w:val="28"/>
          <w:szCs w:val="28"/>
        </w:rPr>
        <w:t xml:space="preserve"> </w:t>
      </w:r>
      <w:r w:rsidRPr="00F07681">
        <w:rPr>
          <w:b/>
          <w:i/>
          <w:sz w:val="28"/>
          <w:szCs w:val="28"/>
          <w:lang w:val="vi-VN"/>
        </w:rPr>
        <w:t>Đối tượng thực hiện:</w:t>
      </w:r>
      <w:r w:rsidR="00866CA4">
        <w:rPr>
          <w:sz w:val="28"/>
          <w:szCs w:val="28"/>
        </w:rPr>
        <w:t xml:space="preserve"> </w:t>
      </w:r>
      <w:r w:rsidRPr="00F07681">
        <w:rPr>
          <w:sz w:val="28"/>
          <w:szCs w:val="28"/>
          <w:lang w:val="vi-VN"/>
        </w:rPr>
        <w:t xml:space="preserve">Tổ chức, cá nhân </w:t>
      </w:r>
    </w:p>
    <w:p w:rsidR="004A7A73" w:rsidRPr="00F07681" w:rsidRDefault="00866CA4" w:rsidP="00866CA4">
      <w:pPr>
        <w:spacing w:before="120" w:after="120"/>
        <w:ind w:firstLine="720"/>
        <w:jc w:val="both"/>
        <w:rPr>
          <w:b/>
          <w:i/>
          <w:sz w:val="28"/>
          <w:szCs w:val="28"/>
          <w:lang w:val="vi-VN"/>
        </w:rPr>
      </w:pPr>
      <w:r>
        <w:rPr>
          <w:b/>
          <w:i/>
          <w:sz w:val="28"/>
          <w:szCs w:val="28"/>
          <w:lang w:val="vi-VN"/>
        </w:rPr>
        <w:t xml:space="preserve">7. Cơ quan giải quyết: </w:t>
      </w:r>
      <w:r w:rsidR="004A7A73" w:rsidRPr="00F07681">
        <w:rPr>
          <w:sz w:val="28"/>
          <w:szCs w:val="28"/>
          <w:lang w:val="vi-VN"/>
        </w:rPr>
        <w:t xml:space="preserve"> Sở Xây dựng.</w:t>
      </w:r>
    </w:p>
    <w:p w:rsidR="004A7A73" w:rsidRPr="00F07681" w:rsidRDefault="004A7A73" w:rsidP="00866CA4">
      <w:pPr>
        <w:spacing w:before="120" w:after="120"/>
        <w:ind w:firstLine="720"/>
        <w:jc w:val="both"/>
        <w:rPr>
          <w:sz w:val="28"/>
          <w:szCs w:val="28"/>
          <w:lang w:val="vi-VN"/>
        </w:rPr>
      </w:pPr>
      <w:r w:rsidRPr="00F07681">
        <w:rPr>
          <w:b/>
          <w:i/>
          <w:sz w:val="28"/>
          <w:szCs w:val="28"/>
          <w:lang w:val="vi-VN"/>
        </w:rPr>
        <w:t>8. Kết quả thực hiện:</w:t>
      </w:r>
      <w:r w:rsidR="00866CA4">
        <w:rPr>
          <w:sz w:val="28"/>
          <w:szCs w:val="28"/>
        </w:rPr>
        <w:t xml:space="preserve"> </w:t>
      </w:r>
      <w:r w:rsidRPr="00F07681">
        <w:rPr>
          <w:sz w:val="28"/>
          <w:szCs w:val="28"/>
          <w:lang w:val="vi-VN"/>
        </w:rPr>
        <w:t>Thông báo tiếp nhận hồ sơ công bố hợp quy</w:t>
      </w:r>
    </w:p>
    <w:p w:rsidR="004A7A73" w:rsidRPr="00F07681" w:rsidRDefault="004A7A73" w:rsidP="00866CA4">
      <w:pPr>
        <w:spacing w:before="120" w:after="120"/>
        <w:ind w:firstLine="720"/>
        <w:jc w:val="both"/>
        <w:rPr>
          <w:sz w:val="28"/>
          <w:szCs w:val="28"/>
          <w:lang w:val="vi-VN"/>
        </w:rPr>
      </w:pPr>
      <w:r w:rsidRPr="00F07681">
        <w:rPr>
          <w:b/>
          <w:i/>
          <w:sz w:val="28"/>
          <w:szCs w:val="28"/>
          <w:lang w:val="vi-VN"/>
        </w:rPr>
        <w:t>9. Phí và lệ phí:</w:t>
      </w:r>
      <w:r w:rsidR="00866CA4">
        <w:rPr>
          <w:sz w:val="28"/>
          <w:szCs w:val="28"/>
        </w:rPr>
        <w:t xml:space="preserve"> </w:t>
      </w:r>
      <w:r w:rsidRPr="00F07681">
        <w:rPr>
          <w:sz w:val="28"/>
          <w:szCs w:val="28"/>
          <w:lang w:val="vi-VN"/>
        </w:rPr>
        <w:t>Theo hướng dẫn tại Thông tư số 183/2016/TT-BTC ngày 08/11/2016 của Bộ Tài chính Quy định mức thu, chế độ thu, nộp, quản lý lệ phí cấp giấy đăng ký công bố hợp chuẩn, hợp quy.</w:t>
      </w:r>
    </w:p>
    <w:p w:rsidR="004A7A73" w:rsidRPr="00866CA4" w:rsidRDefault="004A7A73" w:rsidP="00866CA4">
      <w:pPr>
        <w:spacing w:before="120" w:after="120"/>
        <w:ind w:firstLine="720"/>
        <w:jc w:val="both"/>
        <w:rPr>
          <w:sz w:val="28"/>
          <w:szCs w:val="28"/>
          <w:lang w:val="vi-VN"/>
        </w:rPr>
      </w:pPr>
      <w:r w:rsidRPr="00F07681">
        <w:rPr>
          <w:b/>
          <w:i/>
          <w:sz w:val="28"/>
          <w:szCs w:val="28"/>
          <w:lang w:val="vi-VN"/>
        </w:rPr>
        <w:t>10. Tên mẫu đơn, mẫu tờ khai:</w:t>
      </w:r>
      <w:r w:rsidR="00866CA4">
        <w:rPr>
          <w:sz w:val="28"/>
          <w:szCs w:val="28"/>
        </w:rPr>
        <w:t xml:space="preserve"> Bản </w:t>
      </w:r>
      <w:r w:rsidRPr="00F07681">
        <w:rPr>
          <w:sz w:val="28"/>
          <w:szCs w:val="28"/>
        </w:rPr>
        <w:t>công bố hợp quy theo m</w:t>
      </w:r>
      <w:r w:rsidRPr="00F07681">
        <w:rPr>
          <w:sz w:val="28"/>
          <w:szCs w:val="28"/>
          <w:lang w:val="vi-VN"/>
        </w:rPr>
        <w:t xml:space="preserve">ẫu 02. CBHC/HQ </w:t>
      </w:r>
      <w:r w:rsidRPr="00F07681">
        <w:rPr>
          <w:i/>
          <w:sz w:val="28"/>
          <w:szCs w:val="28"/>
          <w:lang w:val="vi-VN"/>
        </w:rPr>
        <w:t>(quy định tại Phụ lục III Thông tư số 28/2012/TT-BKHCN và nội dung bổ sung quy định tại khoản 7 Điều 1 Thông tư số 02/2017/TT-BKHCN)</w:t>
      </w:r>
    </w:p>
    <w:p w:rsidR="004A7A73" w:rsidRPr="00F07681" w:rsidRDefault="00866CA4" w:rsidP="00F07681">
      <w:pPr>
        <w:spacing w:before="120" w:after="120"/>
        <w:ind w:firstLine="720"/>
        <w:jc w:val="both"/>
        <w:rPr>
          <w:b/>
          <w:i/>
          <w:sz w:val="28"/>
          <w:szCs w:val="28"/>
          <w:lang w:val="vi-VN"/>
        </w:rPr>
      </w:pPr>
      <w:r>
        <w:rPr>
          <w:b/>
          <w:i/>
          <w:sz w:val="28"/>
          <w:szCs w:val="28"/>
          <w:lang w:val="vi-VN"/>
        </w:rPr>
        <w:t>11</w:t>
      </w:r>
      <w:r w:rsidR="004A7A73" w:rsidRPr="00F07681">
        <w:rPr>
          <w:b/>
          <w:i/>
          <w:sz w:val="28"/>
          <w:szCs w:val="28"/>
          <w:lang w:val="vi-VN"/>
        </w:rPr>
        <w:t xml:space="preserve">. Yêu cầu, điều kiện thực hiện thủ tục hành chính: </w:t>
      </w:r>
    </w:p>
    <w:p w:rsidR="004A7A73" w:rsidRPr="00F07681" w:rsidRDefault="004A7A73" w:rsidP="00F07681">
      <w:pPr>
        <w:spacing w:before="120" w:after="120"/>
        <w:ind w:firstLine="720"/>
        <w:jc w:val="both"/>
        <w:rPr>
          <w:sz w:val="28"/>
          <w:szCs w:val="28"/>
          <w:lang w:val="vi-VN"/>
        </w:rPr>
      </w:pPr>
      <w:r w:rsidRPr="00F07681">
        <w:rPr>
          <w:sz w:val="28"/>
          <w:szCs w:val="28"/>
          <w:lang w:val="vi-VN"/>
        </w:rPr>
        <w:t>a) Yêu cầu chung</w:t>
      </w:r>
    </w:p>
    <w:p w:rsidR="004A7A73" w:rsidRPr="00F07681" w:rsidRDefault="004A7A73" w:rsidP="00F07681">
      <w:pPr>
        <w:spacing w:before="120" w:after="120"/>
        <w:ind w:firstLine="720"/>
        <w:jc w:val="both"/>
        <w:rPr>
          <w:sz w:val="28"/>
          <w:szCs w:val="28"/>
          <w:lang w:val="vi-VN"/>
        </w:rPr>
      </w:pPr>
      <w:r w:rsidRPr="00F07681">
        <w:rPr>
          <w:sz w:val="28"/>
          <w:szCs w:val="28"/>
          <w:lang w:val="vi-VN"/>
        </w:rPr>
        <w:lastRenderedPageBreak/>
        <w:t>- Công bố hợp quy phải dựa trên kết quả đánh giá, chứng nhận của tổ chức chứng nhận hợp quy;</w:t>
      </w:r>
    </w:p>
    <w:p w:rsidR="004A7A73" w:rsidRPr="00F07681" w:rsidRDefault="004A7A73" w:rsidP="00F07681">
      <w:pPr>
        <w:spacing w:before="120" w:after="120"/>
        <w:ind w:firstLine="720"/>
        <w:jc w:val="both"/>
        <w:rPr>
          <w:sz w:val="28"/>
          <w:szCs w:val="28"/>
          <w:lang w:val="vi-VN"/>
        </w:rPr>
      </w:pPr>
      <w:r w:rsidRPr="00F07681">
        <w:rPr>
          <w:sz w:val="28"/>
          <w:szCs w:val="28"/>
          <w:lang w:val="vi-VN"/>
        </w:rPr>
        <w:t>- Trường hợp sử dụng kết quả đánh giá sự phù hợp của tổ chức đánh giá sự phù hợp nước ngoài để chứng nhận, công bố hợp quy thì tổ chức đánh giá sự phù hợp nước ngoài phải được thừa nhận theo quy định của pháp luật.</w:t>
      </w:r>
    </w:p>
    <w:p w:rsidR="004A7A73" w:rsidRPr="00F07681" w:rsidRDefault="004A7A73" w:rsidP="00F07681">
      <w:pPr>
        <w:spacing w:before="120" w:after="120"/>
        <w:ind w:firstLine="720"/>
        <w:jc w:val="both"/>
        <w:rPr>
          <w:sz w:val="28"/>
          <w:szCs w:val="28"/>
          <w:lang w:val="vi-VN"/>
        </w:rPr>
      </w:pPr>
      <w:r w:rsidRPr="00F07681">
        <w:rPr>
          <w:sz w:val="28"/>
          <w:szCs w:val="28"/>
          <w:lang w:val="vi-VN"/>
        </w:rPr>
        <w:t>- Trường hợp sản phẩm, hàng hóa vật liệu xây dựng được quản lý bởi nhiều quy chuẩn kỹ thuật khác nhau thì sản phẩm, hàng hóa đó phải được thực hiện đăng ký công bố hợp quy tại các cơ quan chuyên ngành tương ứng và dấu hợp quy chỉ được sử dụng khi sản phẩm, hàng hóa đó đã thực hiện đầy đủ các biện pháp quản lý theo quy định tại các quy chuẩn kỹ thuật tương ứng.</w:t>
      </w:r>
    </w:p>
    <w:p w:rsidR="004A7A73" w:rsidRPr="00F07681" w:rsidRDefault="004A7A73" w:rsidP="00F07681">
      <w:pPr>
        <w:spacing w:before="120" w:after="120"/>
        <w:ind w:firstLine="720"/>
        <w:jc w:val="both"/>
        <w:rPr>
          <w:sz w:val="28"/>
          <w:szCs w:val="28"/>
          <w:lang w:val="vi-VN"/>
        </w:rPr>
      </w:pPr>
      <w:r w:rsidRPr="00F07681">
        <w:rPr>
          <w:sz w:val="28"/>
          <w:szCs w:val="28"/>
          <w:lang w:val="vi-VN"/>
        </w:rPr>
        <w:t>b) Điều kiện để thực hiện</w:t>
      </w:r>
    </w:p>
    <w:p w:rsidR="004A7A73" w:rsidRPr="00F07681" w:rsidRDefault="004A7A73" w:rsidP="00F07681">
      <w:pPr>
        <w:spacing w:before="120" w:after="120"/>
        <w:ind w:firstLine="720"/>
        <w:jc w:val="both"/>
        <w:rPr>
          <w:sz w:val="28"/>
          <w:szCs w:val="28"/>
          <w:lang w:val="vi-VN"/>
        </w:rPr>
      </w:pPr>
      <w:r w:rsidRPr="00F07681">
        <w:rPr>
          <w:sz w:val="28"/>
          <w:szCs w:val="28"/>
          <w:lang w:val="vi-VN"/>
        </w:rPr>
        <w:t>- Hồ sơ hợp lệ theo quy định;</w:t>
      </w:r>
    </w:p>
    <w:p w:rsidR="004A7A73" w:rsidRPr="00F07681" w:rsidRDefault="004A7A73" w:rsidP="00F07681">
      <w:pPr>
        <w:spacing w:before="120" w:after="120"/>
        <w:ind w:firstLine="720"/>
        <w:jc w:val="both"/>
        <w:rPr>
          <w:sz w:val="28"/>
          <w:szCs w:val="28"/>
          <w:lang w:val="vi-VN"/>
        </w:rPr>
      </w:pPr>
      <w:r w:rsidRPr="00F07681">
        <w:rPr>
          <w:sz w:val="28"/>
          <w:szCs w:val="28"/>
          <w:lang w:val="vi-VN"/>
        </w:rPr>
        <w:t>- Kê khai đúng chủng loại sản phẩm, hàng hóa vật liệu xây dựng phù hợp với danh mục sản phẩm quy định tại Bảng 1 Phần 2 QCVN 16:2017/BXD. Trong trường hợp chưa xác định rõ chủng loại sản phẩm, cần phối hợp với tổ chức chứng nhận hợp quy để thực hiện việc định danh sản phẩm.</w:t>
      </w:r>
    </w:p>
    <w:p w:rsidR="004A7A73" w:rsidRPr="00F07681" w:rsidRDefault="004A7A73" w:rsidP="00F07681">
      <w:pPr>
        <w:spacing w:before="120" w:after="120"/>
        <w:jc w:val="both"/>
        <w:rPr>
          <w:b/>
          <w:i/>
          <w:sz w:val="28"/>
          <w:szCs w:val="28"/>
          <w:lang w:val="vi-VN"/>
        </w:rPr>
      </w:pPr>
      <w:r w:rsidRPr="00F07681">
        <w:rPr>
          <w:sz w:val="28"/>
          <w:szCs w:val="28"/>
          <w:lang w:val="vi-VN"/>
        </w:rPr>
        <w:tab/>
      </w:r>
      <w:r w:rsidRPr="00F07681">
        <w:rPr>
          <w:b/>
          <w:i/>
          <w:sz w:val="28"/>
          <w:szCs w:val="28"/>
          <w:lang w:val="vi-VN"/>
        </w:rPr>
        <w:t>1</w:t>
      </w:r>
      <w:r w:rsidR="00866CA4">
        <w:rPr>
          <w:b/>
          <w:i/>
          <w:sz w:val="28"/>
          <w:szCs w:val="28"/>
        </w:rPr>
        <w:t>2</w:t>
      </w:r>
      <w:r w:rsidRPr="00F07681">
        <w:rPr>
          <w:b/>
          <w:i/>
          <w:sz w:val="28"/>
          <w:szCs w:val="28"/>
          <w:lang w:val="vi-VN"/>
        </w:rPr>
        <w:t xml:space="preserve">. Căn cứ pháp lý của thủ tục hành chính: </w:t>
      </w:r>
    </w:p>
    <w:p w:rsidR="004A7A73" w:rsidRPr="00F07681" w:rsidRDefault="004A7A73" w:rsidP="00F07681">
      <w:pPr>
        <w:pStyle w:val="BodyTextIndent2"/>
        <w:spacing w:before="120" w:line="240" w:lineRule="auto"/>
        <w:ind w:left="0" w:firstLine="720"/>
        <w:jc w:val="both"/>
        <w:rPr>
          <w:sz w:val="28"/>
          <w:szCs w:val="28"/>
          <w:lang w:val="pl-PL"/>
        </w:rPr>
      </w:pPr>
      <w:r w:rsidRPr="00F07681">
        <w:rPr>
          <w:sz w:val="28"/>
          <w:szCs w:val="28"/>
          <w:lang w:val="pl-PL"/>
        </w:rPr>
        <w:t xml:space="preserve">- </w:t>
      </w:r>
      <w:r w:rsidRPr="00F07681">
        <w:rPr>
          <w:sz w:val="28"/>
          <w:szCs w:val="28"/>
          <w:lang w:val="vi-VN"/>
        </w:rPr>
        <w:t>Thông tư số 28/2012/TT-BKHCN</w:t>
      </w:r>
      <w:r w:rsidRPr="00F07681">
        <w:rPr>
          <w:sz w:val="28"/>
          <w:szCs w:val="28"/>
          <w:lang w:val="pl-PL"/>
        </w:rPr>
        <w:t xml:space="preserve"> ngày 12/12/2012 của Bộ Khoa học và Công nghệ quy định về công bố hợp chuẩn, công bố hợp quy và phương thức đánh giá sự phù hợp với tiêu chuẩn, quy chuẩn kỹ thuật;</w:t>
      </w:r>
    </w:p>
    <w:p w:rsidR="004A7A73" w:rsidRPr="00F07681" w:rsidRDefault="004A7A73" w:rsidP="00F07681">
      <w:pPr>
        <w:pStyle w:val="BodyTextIndent2"/>
        <w:spacing w:before="120" w:line="240" w:lineRule="auto"/>
        <w:ind w:left="0" w:firstLine="720"/>
        <w:jc w:val="both"/>
        <w:rPr>
          <w:sz w:val="28"/>
          <w:szCs w:val="28"/>
          <w:lang w:val="pl-PL"/>
        </w:rPr>
      </w:pPr>
      <w:r w:rsidRPr="00F07681">
        <w:rPr>
          <w:sz w:val="28"/>
          <w:szCs w:val="28"/>
          <w:lang w:val="pl-PL"/>
        </w:rPr>
        <w:t xml:space="preserve">- </w:t>
      </w:r>
      <w:r w:rsidRPr="00F07681">
        <w:rPr>
          <w:sz w:val="28"/>
          <w:szCs w:val="28"/>
          <w:lang w:val="vi-VN"/>
        </w:rPr>
        <w:t>Thông tư số 02/2017/TT-BKHCN ngày 31/3/2017 của Bộ trưởng Bộ Khoa học và Công nghệ sửa đổi bổ sung một số điều của Thông tư số 28/2012/TT-BKHCN</w:t>
      </w:r>
      <w:r w:rsidRPr="00F07681">
        <w:rPr>
          <w:sz w:val="28"/>
          <w:szCs w:val="28"/>
          <w:lang w:val="pl-PL"/>
        </w:rPr>
        <w:t>;</w:t>
      </w:r>
    </w:p>
    <w:p w:rsidR="004A7A73" w:rsidRPr="00F816F7" w:rsidRDefault="004A7A73" w:rsidP="004A7A73">
      <w:pPr>
        <w:spacing w:before="120" w:after="120"/>
        <w:ind w:firstLine="720"/>
        <w:jc w:val="both"/>
        <w:rPr>
          <w:sz w:val="28"/>
          <w:szCs w:val="28"/>
          <w:lang w:val="pl-PL"/>
        </w:rPr>
      </w:pPr>
      <w:r w:rsidRPr="00F816F7">
        <w:rPr>
          <w:sz w:val="28"/>
          <w:szCs w:val="28"/>
          <w:lang w:val="pl-PL"/>
        </w:rPr>
        <w:t>- Thông tư số 10/2017/TT-BXD ngày 29/9/2017 của Bộ Xây dựng ban hành Quy chuẩn kỹ thuật quốc gia về sản phẩm, hàng hóa vật liệu xây dựng và hướng dẫn chứng nhận hợp quy, công bố hợp quy.</w:t>
      </w:r>
    </w:p>
    <w:p w:rsidR="004A7A73" w:rsidRPr="00F816F7" w:rsidRDefault="004A7A73" w:rsidP="004A7A73">
      <w:pPr>
        <w:spacing w:before="120" w:after="120"/>
        <w:jc w:val="both"/>
        <w:rPr>
          <w:sz w:val="28"/>
          <w:szCs w:val="28"/>
          <w:lang w:val="pl-PL"/>
        </w:rPr>
      </w:pPr>
    </w:p>
    <w:p w:rsidR="00E01211" w:rsidRPr="004A7A73" w:rsidRDefault="00E01211" w:rsidP="004A7A73"/>
    <w:sectPr w:rsidR="00E01211" w:rsidRPr="004A7A73"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606" w:rsidRDefault="00A93606" w:rsidP="000105B8">
      <w:r>
        <w:separator/>
      </w:r>
    </w:p>
  </w:endnote>
  <w:endnote w:type="continuationSeparator" w:id="0">
    <w:p w:rsidR="00A93606" w:rsidRDefault="00A93606"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606" w:rsidRDefault="00A93606" w:rsidP="000105B8">
      <w:r>
        <w:separator/>
      </w:r>
    </w:p>
  </w:footnote>
  <w:footnote w:type="continuationSeparator" w:id="0">
    <w:p w:rsidR="00A93606" w:rsidRDefault="00A93606"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66CA4" w:rsidRPr="00866CA4">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236A"/>
    <w:multiLevelType w:val="hybridMultilevel"/>
    <w:tmpl w:val="9412F8AE"/>
    <w:lvl w:ilvl="0" w:tplc="6B401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96296"/>
    <w:rsid w:val="000F32DC"/>
    <w:rsid w:val="001D5352"/>
    <w:rsid w:val="00253A8F"/>
    <w:rsid w:val="00281401"/>
    <w:rsid w:val="002E1647"/>
    <w:rsid w:val="002E4BB4"/>
    <w:rsid w:val="002F57A0"/>
    <w:rsid w:val="003C4F03"/>
    <w:rsid w:val="003E2D6F"/>
    <w:rsid w:val="003F6911"/>
    <w:rsid w:val="004A7A73"/>
    <w:rsid w:val="004D78F2"/>
    <w:rsid w:val="0053658B"/>
    <w:rsid w:val="005E4CF0"/>
    <w:rsid w:val="0077343B"/>
    <w:rsid w:val="007C3820"/>
    <w:rsid w:val="008218EB"/>
    <w:rsid w:val="00863BCB"/>
    <w:rsid w:val="00866CA4"/>
    <w:rsid w:val="0086788A"/>
    <w:rsid w:val="0087072A"/>
    <w:rsid w:val="008966A3"/>
    <w:rsid w:val="008F12BD"/>
    <w:rsid w:val="00A93606"/>
    <w:rsid w:val="00AF6813"/>
    <w:rsid w:val="00BB5F31"/>
    <w:rsid w:val="00C05B7D"/>
    <w:rsid w:val="00C0662D"/>
    <w:rsid w:val="00DE2C49"/>
    <w:rsid w:val="00E01211"/>
    <w:rsid w:val="00E646C7"/>
    <w:rsid w:val="00E77BE3"/>
    <w:rsid w:val="00E87A2E"/>
    <w:rsid w:val="00EE3F9F"/>
    <w:rsid w:val="00EE4099"/>
    <w:rsid w:val="00F07681"/>
    <w:rsid w:val="00F4266C"/>
    <w:rsid w:val="00F9431C"/>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C299"/>
  <w15:docId w15:val="{DD42C8AF-17FE-406B-B5F7-65F61CDC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styleId="BodyTextIndent2">
    <w:name w:val="Body Text Indent 2"/>
    <w:basedOn w:val="Normal"/>
    <w:link w:val="BodyTextIndent2Char"/>
    <w:rsid w:val="004A7A73"/>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A7A73"/>
    <w:rPr>
      <w:rFonts w:eastAsia="Times New Roman" w:cs="Times New Roman"/>
      <w:sz w:val="24"/>
      <w:szCs w:val="24"/>
      <w:lang w:val="x-none" w:eastAsia="x-none"/>
    </w:rPr>
  </w:style>
  <w:style w:type="paragraph" w:styleId="BodyTextIndent">
    <w:name w:val="Body Text Indent"/>
    <w:basedOn w:val="Normal"/>
    <w:link w:val="BodyTextIndentChar"/>
    <w:rsid w:val="004A7A73"/>
    <w:pPr>
      <w:spacing w:after="120"/>
      <w:ind w:left="360"/>
    </w:pPr>
    <w:rPr>
      <w:lang w:val="x-none" w:eastAsia="x-none"/>
    </w:rPr>
  </w:style>
  <w:style w:type="character" w:customStyle="1" w:styleId="BodyTextIndentChar">
    <w:name w:val="Body Text Indent Char"/>
    <w:basedOn w:val="DefaultParagraphFont"/>
    <w:link w:val="BodyTextIndent"/>
    <w:rsid w:val="004A7A73"/>
    <w:rPr>
      <w:rFonts w:eastAsia="Times New Roman" w:cs="Times New Roman"/>
      <w:sz w:val="24"/>
      <w:szCs w:val="24"/>
      <w:lang w:val="x-none" w:eastAsia="x-none"/>
    </w:rPr>
  </w:style>
  <w:style w:type="paragraph" w:styleId="ListParagraph">
    <w:name w:val="List Paragraph"/>
    <w:basedOn w:val="Normal"/>
    <w:uiPriority w:val="34"/>
    <w:qFormat/>
    <w:rsid w:val="00F07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4F8EB-2144-41AE-BBF9-4047C650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549</Words>
  <Characters>3131</Characters>
  <Application>Microsoft Office Word</Application>
  <DocSecurity>0</DocSecurity>
  <Lines>26</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2025-06-02T13:22:00Z</dcterms:created>
  <dcterms:modified xsi:type="dcterms:W3CDTF">2025-06-07T14:37:00Z</dcterms:modified>
</cp:coreProperties>
</file>