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1F7" w:rsidRPr="009D196F" w:rsidRDefault="00895E13">
      <w:pPr>
        <w:rPr>
          <w:b/>
        </w:rPr>
      </w:pPr>
      <w:r w:rsidRPr="009D196F">
        <w:rPr>
          <w:b/>
          <w:color w:val="000000"/>
          <w:u w:color="FF0000"/>
        </w:rPr>
        <w:t>Dự thảo</w:t>
      </w:r>
      <w:r w:rsidRPr="009D196F">
        <w:rPr>
          <w:b/>
        </w:rPr>
        <w:t xml:space="preserve"> Quyết định quy định một số nội dung quản lý, sử dụng nhà ở công vụ trên địa bàn tỉnh Lai Châu.</w:t>
      </w:r>
    </w:p>
    <w:p w:rsidR="00895E13" w:rsidRPr="009D196F" w:rsidRDefault="00895E13" w:rsidP="00895E13">
      <w:pPr>
        <w:ind w:firstLine="709"/>
        <w:rPr>
          <w:b/>
        </w:rPr>
      </w:pPr>
      <w:r w:rsidRPr="009D196F">
        <w:rPr>
          <w:b/>
        </w:rPr>
        <w:t>I. Sự cần thiết ban hành Quyết định</w:t>
      </w:r>
    </w:p>
    <w:p w:rsidR="00895E13" w:rsidRPr="009D196F" w:rsidRDefault="00895E13" w:rsidP="00895E13">
      <w:pPr>
        <w:spacing w:before="120" w:after="120" w:line="380" w:lineRule="exact"/>
        <w:ind w:firstLine="709"/>
        <w:jc w:val="both"/>
        <w:rPr>
          <w:rFonts w:cs="Times New Roman"/>
          <w:szCs w:val="28"/>
        </w:rPr>
      </w:pPr>
      <w:r w:rsidRPr="009D196F">
        <w:rPr>
          <w:rFonts w:cs="Times New Roman"/>
          <w:szCs w:val="28"/>
        </w:rPr>
        <w:t xml:space="preserve">Ttrên địa bàn tỉnh hiện nay có tổng số 1.292 phòng ở công vụ (trong đó 756 phòng là </w:t>
      </w:r>
      <w:r w:rsidRPr="009D196F">
        <w:rPr>
          <w:rFonts w:cs="Times New Roman"/>
          <w:color w:val="000000"/>
          <w:szCs w:val="28"/>
          <w:u w:color="FF0000"/>
        </w:rPr>
        <w:t>nhà cấp</w:t>
      </w:r>
      <w:r w:rsidRPr="009D196F">
        <w:rPr>
          <w:rFonts w:cs="Times New Roman"/>
          <w:szCs w:val="28"/>
        </w:rPr>
        <w:t xml:space="preserve"> IV, 01 tầng, </w:t>
      </w:r>
      <w:r w:rsidRPr="009D196F">
        <w:rPr>
          <w:rFonts w:cs="Times New Roman"/>
          <w:color w:val="000000"/>
          <w:szCs w:val="28"/>
          <w:u w:color="FF0000"/>
        </w:rPr>
        <w:t>tường xây gạch</w:t>
      </w:r>
      <w:r w:rsidRPr="009D196F">
        <w:rPr>
          <w:rFonts w:cs="Times New Roman"/>
          <w:szCs w:val="28"/>
        </w:rPr>
        <w:t xml:space="preserve">, mái lợp tôn; 481 phòng là </w:t>
      </w:r>
      <w:r w:rsidRPr="009D196F">
        <w:rPr>
          <w:rFonts w:cs="Times New Roman"/>
          <w:color w:val="000000"/>
          <w:szCs w:val="28"/>
          <w:u w:color="FF0000"/>
        </w:rPr>
        <w:t>nhà cấp</w:t>
      </w:r>
      <w:r w:rsidRPr="009D196F">
        <w:rPr>
          <w:rFonts w:cs="Times New Roman"/>
          <w:szCs w:val="28"/>
        </w:rPr>
        <w:t xml:space="preserve"> IV, 01 tầng, khung và sàn bê tông cốt thép, </w:t>
      </w:r>
      <w:r w:rsidRPr="009D196F">
        <w:rPr>
          <w:rFonts w:cs="Times New Roman"/>
          <w:color w:val="000000"/>
          <w:szCs w:val="28"/>
          <w:u w:color="FF0000"/>
        </w:rPr>
        <w:t>tường xây gạch</w:t>
      </w:r>
      <w:r w:rsidRPr="009D196F">
        <w:rPr>
          <w:rFonts w:cs="Times New Roman"/>
          <w:szCs w:val="28"/>
        </w:rPr>
        <w:t xml:space="preserve">; 55 phòng là </w:t>
      </w:r>
      <w:r w:rsidRPr="009D196F">
        <w:rPr>
          <w:rFonts w:cs="Times New Roman"/>
          <w:color w:val="000000"/>
          <w:szCs w:val="28"/>
          <w:u w:color="FF0000"/>
        </w:rPr>
        <w:t>nhà cấp</w:t>
      </w:r>
      <w:r w:rsidRPr="009D196F">
        <w:rPr>
          <w:rFonts w:cs="Times New Roman"/>
          <w:szCs w:val="28"/>
        </w:rPr>
        <w:t xml:space="preserve"> III, 02-05 tầng, kết cấu khung, sàn bê tông cốt thép, </w:t>
      </w:r>
      <w:r w:rsidRPr="009D196F">
        <w:rPr>
          <w:rFonts w:cs="Times New Roman"/>
          <w:color w:val="000000"/>
          <w:szCs w:val="28"/>
          <w:u w:color="FF0000"/>
        </w:rPr>
        <w:t>tường xây gạch</w:t>
      </w:r>
      <w:r w:rsidRPr="009D196F">
        <w:rPr>
          <w:rFonts w:cs="Times New Roman"/>
          <w:szCs w:val="28"/>
        </w:rPr>
        <w:t>).</w:t>
      </w:r>
    </w:p>
    <w:p w:rsidR="00895E13" w:rsidRPr="009D196F" w:rsidRDefault="00895E13" w:rsidP="00895E13">
      <w:pPr>
        <w:spacing w:before="120" w:after="120" w:line="380" w:lineRule="exact"/>
        <w:ind w:firstLine="709"/>
        <w:jc w:val="both"/>
        <w:rPr>
          <w:rFonts w:cs="Times New Roman"/>
          <w:szCs w:val="28"/>
          <w:lang w:val="vi-VN"/>
        </w:rPr>
      </w:pPr>
      <w:r w:rsidRPr="009D196F">
        <w:rPr>
          <w:rFonts w:cs="Times New Roman"/>
          <w:szCs w:val="28"/>
          <w:lang w:val="vi-VN"/>
        </w:rPr>
        <w:t>Về tiêu chuẩn diện tí</w:t>
      </w:r>
      <w:bookmarkStart w:id="0" w:name="_GoBack"/>
      <w:bookmarkEnd w:id="0"/>
      <w:r w:rsidRPr="009D196F">
        <w:rPr>
          <w:rFonts w:cs="Times New Roman"/>
          <w:szCs w:val="28"/>
          <w:lang w:val="vi-VN"/>
        </w:rPr>
        <w:t xml:space="preserve">ch và định mức </w:t>
      </w:r>
      <w:r w:rsidRPr="009D196F">
        <w:rPr>
          <w:rFonts w:cs="Times New Roman"/>
          <w:color w:val="000000"/>
          <w:szCs w:val="28"/>
          <w:u w:color="FF0000"/>
          <w:lang w:val="vi-VN"/>
        </w:rPr>
        <w:t>trang thiết</w:t>
      </w:r>
      <w:r w:rsidRPr="009D196F">
        <w:rPr>
          <w:rFonts w:cs="Times New Roman"/>
          <w:szCs w:val="28"/>
          <w:lang w:val="vi-VN"/>
        </w:rPr>
        <w:t xml:space="preserve"> bị nội thất nhà ở công vụ </w:t>
      </w:r>
      <w:r w:rsidRPr="009D196F">
        <w:rPr>
          <w:rFonts w:cs="Times New Roman"/>
          <w:szCs w:val="28"/>
        </w:rPr>
        <w:t>trên địa bàn tỉnh hầu hết chưa đảm bảo theo</w:t>
      </w:r>
      <w:r w:rsidRPr="009D196F">
        <w:rPr>
          <w:rFonts w:cs="Times New Roman"/>
          <w:szCs w:val="28"/>
          <w:lang w:val="vi-VN"/>
        </w:rPr>
        <w:t xml:space="preserve"> quy định tại Quyết định số 11/2024/QĐ-TTg</w:t>
      </w:r>
      <w:r w:rsidRPr="009D196F">
        <w:rPr>
          <w:rFonts w:cs="Times New Roman"/>
          <w:szCs w:val="28"/>
        </w:rPr>
        <w:t>,</w:t>
      </w:r>
      <w:r w:rsidRPr="009D196F">
        <w:rPr>
          <w:rFonts w:cs="Times New Roman"/>
          <w:szCs w:val="28"/>
          <w:lang w:val="vi-VN"/>
        </w:rPr>
        <w:t xml:space="preserve"> ngày 14/7/2024</w:t>
      </w:r>
      <w:r w:rsidRPr="009D196F">
        <w:rPr>
          <w:rFonts w:cs="Times New Roman"/>
          <w:szCs w:val="28"/>
        </w:rPr>
        <w:t xml:space="preserve"> </w:t>
      </w:r>
      <w:r w:rsidRPr="009D196F">
        <w:rPr>
          <w:rFonts w:cs="Times New Roman"/>
          <w:szCs w:val="28"/>
          <w:lang w:val="vi-VN"/>
        </w:rPr>
        <w:t xml:space="preserve">của </w:t>
      </w:r>
      <w:r w:rsidRPr="009D196F">
        <w:rPr>
          <w:rFonts w:cs="Times New Roman"/>
          <w:color w:val="000000"/>
          <w:szCs w:val="28"/>
          <w:u w:color="FF0000"/>
          <w:lang w:val="vi-VN"/>
        </w:rPr>
        <w:t>Thủ tướng</w:t>
      </w:r>
      <w:r w:rsidRPr="009D196F">
        <w:rPr>
          <w:rFonts w:cs="Times New Roman"/>
          <w:szCs w:val="28"/>
          <w:lang w:val="vi-VN"/>
        </w:rPr>
        <w:t xml:space="preserve"> Chính phủ về tiêu chuẩn nhà ở công vụ và các quy định khác của pháp luật có liên quan</w:t>
      </w:r>
      <w:r w:rsidRPr="009D196F">
        <w:rPr>
          <w:rFonts w:cs="Times New Roman"/>
          <w:szCs w:val="28"/>
        </w:rPr>
        <w:t xml:space="preserve"> </w:t>
      </w:r>
      <w:r w:rsidRPr="009D196F">
        <w:rPr>
          <w:rFonts w:cs="Times New Roman"/>
          <w:szCs w:val="28"/>
          <w:lang w:val="vi-VN"/>
        </w:rPr>
        <w:t xml:space="preserve">(Nhà ở công vụ tỉnh Lai Châu, Nhà ở </w:t>
      </w:r>
      <w:r w:rsidRPr="009D196F">
        <w:rPr>
          <w:rFonts w:cs="Times New Roman"/>
          <w:szCs w:val="28"/>
        </w:rPr>
        <w:t xml:space="preserve">công </w:t>
      </w:r>
      <w:r w:rsidRPr="009D196F">
        <w:rPr>
          <w:rFonts w:cs="Times New Roman"/>
          <w:szCs w:val="28"/>
          <w:lang w:val="vi-VN"/>
        </w:rPr>
        <w:t xml:space="preserve">vụ </w:t>
      </w:r>
      <w:r w:rsidRPr="009D196F">
        <w:rPr>
          <w:rFonts w:cs="Times New Roman"/>
          <w:szCs w:val="28"/>
        </w:rPr>
        <w:t xml:space="preserve">Huyện ủy huyện </w:t>
      </w:r>
      <w:r w:rsidRPr="009D196F">
        <w:rPr>
          <w:rFonts w:cs="Times New Roman"/>
          <w:szCs w:val="28"/>
          <w:lang w:val="vi-VN"/>
        </w:rPr>
        <w:t>Than Uyên</w:t>
      </w:r>
      <w:r w:rsidRPr="009D196F">
        <w:rPr>
          <w:rFonts w:cs="Times New Roman"/>
          <w:szCs w:val="28"/>
        </w:rPr>
        <w:t xml:space="preserve"> được xây dựng theo dự án riêng cơ bản đáp ứng quy định về diện tích và </w:t>
      </w:r>
      <w:r w:rsidRPr="009D196F">
        <w:rPr>
          <w:rFonts w:cs="Times New Roman"/>
          <w:color w:val="000000"/>
          <w:szCs w:val="28"/>
          <w:u w:color="FF0000"/>
        </w:rPr>
        <w:t>trang thiết</w:t>
      </w:r>
      <w:r w:rsidRPr="009D196F">
        <w:rPr>
          <w:rFonts w:cs="Times New Roman"/>
          <w:szCs w:val="28"/>
        </w:rPr>
        <w:t xml:space="preserve"> bị; các nhà ở công vụ, phòng ở công vụ khác chủ yếu được đầu tư theo các dự án trụ sở làm việc cơ quan, đơn vị, cơ sở y tế, giáo dục trong đó có đầu tư hạng mục nhà công vụ hoặc đầu tư </w:t>
      </w:r>
      <w:r w:rsidRPr="009D196F">
        <w:rPr>
          <w:rFonts w:cs="Times New Roman"/>
          <w:color w:val="000000"/>
          <w:szCs w:val="28"/>
          <w:u w:color="FF0000"/>
        </w:rPr>
        <w:t>ghép phòng</w:t>
      </w:r>
      <w:r w:rsidRPr="009D196F">
        <w:rPr>
          <w:rFonts w:cs="Times New Roman"/>
          <w:szCs w:val="28"/>
        </w:rPr>
        <w:t xml:space="preserve"> ở công vụ vào các hạng mục khác của dự án)</w:t>
      </w:r>
      <w:r w:rsidRPr="009D196F">
        <w:rPr>
          <w:rFonts w:cs="Times New Roman"/>
          <w:szCs w:val="28"/>
          <w:lang w:val="vi-VN"/>
        </w:rPr>
        <w:t>.</w:t>
      </w:r>
    </w:p>
    <w:p w:rsidR="00895E13" w:rsidRPr="009D196F" w:rsidRDefault="00895E13" w:rsidP="00895E13">
      <w:pPr>
        <w:spacing w:before="120" w:after="120" w:line="380" w:lineRule="exact"/>
        <w:ind w:firstLine="709"/>
        <w:jc w:val="both"/>
        <w:rPr>
          <w:rFonts w:cs="Times New Roman"/>
          <w:szCs w:val="28"/>
        </w:rPr>
      </w:pPr>
      <w:r w:rsidRPr="009D196F">
        <w:rPr>
          <w:rFonts w:cs="Times New Roman"/>
          <w:szCs w:val="28"/>
          <w:lang w:val="vi-VN"/>
        </w:rPr>
        <w:t xml:space="preserve">Thực hiện quy định của Luật Nhà ở năm 2014 và Nghị định số 99/2015/NĐ-CP ngày 20/5/2014 của Chính phủ, </w:t>
      </w:r>
      <w:r w:rsidRPr="009D196F">
        <w:rPr>
          <w:rFonts w:cs="Times New Roman"/>
          <w:szCs w:val="28"/>
        </w:rPr>
        <w:t>UBND</w:t>
      </w:r>
      <w:r w:rsidRPr="009D196F">
        <w:rPr>
          <w:rFonts w:cs="Times New Roman"/>
          <w:szCs w:val="28"/>
          <w:lang w:val="vi-VN"/>
        </w:rPr>
        <w:t xml:space="preserve"> tỉnh Lai Châu đã ban hành </w:t>
      </w:r>
      <w:r w:rsidRPr="009D196F">
        <w:rPr>
          <w:rFonts w:cs="Times New Roman"/>
          <w:szCs w:val="28"/>
        </w:rPr>
        <w:t xml:space="preserve">các </w:t>
      </w:r>
      <w:r w:rsidRPr="009D196F">
        <w:rPr>
          <w:rFonts w:cs="Times New Roman"/>
          <w:szCs w:val="28"/>
          <w:lang w:val="vi-VN"/>
        </w:rPr>
        <w:t>Quyết định</w:t>
      </w:r>
      <w:r w:rsidRPr="009D196F">
        <w:rPr>
          <w:rFonts w:cs="Times New Roman"/>
          <w:szCs w:val="28"/>
        </w:rPr>
        <w:t>:</w:t>
      </w:r>
      <w:r w:rsidRPr="009D196F">
        <w:rPr>
          <w:rFonts w:cs="Times New Roman"/>
          <w:szCs w:val="28"/>
          <w:lang w:val="vi-VN"/>
        </w:rPr>
        <w:t xml:space="preserve"> </w:t>
      </w:r>
      <w:r w:rsidRPr="009D196F">
        <w:rPr>
          <w:rFonts w:cs="Times New Roman"/>
          <w:szCs w:val="28"/>
        </w:rPr>
        <w:t>S</w:t>
      </w:r>
      <w:r w:rsidRPr="009D196F">
        <w:rPr>
          <w:rFonts w:cs="Times New Roman"/>
          <w:szCs w:val="28"/>
          <w:lang w:val="vi-VN"/>
        </w:rPr>
        <w:t>ố 19/2018/QĐ-UBND</w:t>
      </w:r>
      <w:r w:rsidRPr="009D196F">
        <w:rPr>
          <w:rFonts w:cs="Times New Roman"/>
          <w:szCs w:val="28"/>
        </w:rPr>
        <w:t>,</w:t>
      </w:r>
      <w:r w:rsidRPr="009D196F">
        <w:rPr>
          <w:rFonts w:cs="Times New Roman"/>
          <w:szCs w:val="28"/>
          <w:lang w:val="vi-VN"/>
        </w:rPr>
        <w:t xml:space="preserve"> ngày 09/5/2018 </w:t>
      </w:r>
      <w:r w:rsidRPr="009D196F">
        <w:rPr>
          <w:rFonts w:cs="Times New Roman"/>
          <w:szCs w:val="28"/>
        </w:rPr>
        <w:t>Q</w:t>
      </w:r>
      <w:r w:rsidRPr="009D196F">
        <w:rPr>
          <w:rFonts w:cs="Times New Roman"/>
          <w:szCs w:val="28"/>
          <w:lang w:val="vi-VN"/>
        </w:rPr>
        <w:t>uy định một số nội dung về quản lý, sử dụng nhà ở công vụ trên địa bàn tỉnh Lai Châu</w:t>
      </w:r>
      <w:r w:rsidRPr="009D196F">
        <w:rPr>
          <w:rFonts w:cs="Times New Roman"/>
          <w:szCs w:val="28"/>
        </w:rPr>
        <w:t>;</w:t>
      </w:r>
      <w:r w:rsidRPr="009D196F">
        <w:rPr>
          <w:rFonts w:cs="Times New Roman"/>
          <w:szCs w:val="28"/>
          <w:lang w:val="vi-VN"/>
        </w:rPr>
        <w:t xml:space="preserve"> số 29/2022/QĐ-UBND</w:t>
      </w:r>
      <w:r w:rsidRPr="009D196F">
        <w:rPr>
          <w:rFonts w:cs="Times New Roman"/>
          <w:szCs w:val="28"/>
        </w:rPr>
        <w:t>,</w:t>
      </w:r>
      <w:r w:rsidRPr="009D196F">
        <w:rPr>
          <w:rFonts w:cs="Times New Roman"/>
          <w:szCs w:val="28"/>
          <w:lang w:val="vi-VN"/>
        </w:rPr>
        <w:t xml:space="preserve"> ngày 22/8/2022 sửa đổi bổ sung một số điều của Quyết định 19/2018/QĐ-UBND; </w:t>
      </w:r>
      <w:r w:rsidRPr="009D196F">
        <w:rPr>
          <w:rFonts w:cs="Times New Roman"/>
          <w:szCs w:val="28"/>
        </w:rPr>
        <w:t>s</w:t>
      </w:r>
      <w:r w:rsidRPr="009D196F">
        <w:rPr>
          <w:rFonts w:cs="Times New Roman"/>
          <w:szCs w:val="28"/>
          <w:lang w:val="vi-VN"/>
        </w:rPr>
        <w:t>ố 37/2018/QĐ-UBND</w:t>
      </w:r>
      <w:r w:rsidRPr="009D196F">
        <w:rPr>
          <w:rFonts w:cs="Times New Roman"/>
          <w:szCs w:val="28"/>
        </w:rPr>
        <w:t>,</w:t>
      </w:r>
      <w:r w:rsidRPr="009D196F">
        <w:rPr>
          <w:rFonts w:cs="Times New Roman"/>
          <w:szCs w:val="28"/>
          <w:lang w:val="vi-VN"/>
        </w:rPr>
        <w:t xml:space="preserve"> ngày 16/11/2018 </w:t>
      </w:r>
      <w:r w:rsidRPr="009D196F">
        <w:rPr>
          <w:rFonts w:cs="Times New Roman"/>
          <w:szCs w:val="28"/>
        </w:rPr>
        <w:t xml:space="preserve">Quy định </w:t>
      </w:r>
      <w:r w:rsidRPr="009D196F">
        <w:rPr>
          <w:rFonts w:cs="Times New Roman"/>
          <w:szCs w:val="28"/>
          <w:lang w:val="vi-VN"/>
        </w:rPr>
        <w:t>về giá cho thuê nhà ở công vụ trên địa bàn tỉnh Lai Châu</w:t>
      </w:r>
      <w:r w:rsidRPr="009D196F">
        <w:rPr>
          <w:rFonts w:cs="Times New Roman"/>
          <w:szCs w:val="28"/>
        </w:rPr>
        <w:t xml:space="preserve">. </w:t>
      </w:r>
    </w:p>
    <w:p w:rsidR="00895E13" w:rsidRPr="009D196F" w:rsidRDefault="00895E13" w:rsidP="00895E13">
      <w:pPr>
        <w:spacing w:before="120" w:after="120" w:line="380" w:lineRule="exact"/>
        <w:ind w:firstLine="709"/>
        <w:jc w:val="both"/>
        <w:rPr>
          <w:rFonts w:cs="Times New Roman"/>
          <w:szCs w:val="28"/>
        </w:rPr>
      </w:pPr>
      <w:r w:rsidRPr="009D196F">
        <w:rPr>
          <w:rFonts w:cs="Times New Roman"/>
          <w:szCs w:val="28"/>
        </w:rPr>
        <w:t>Ngày 27/11/2023, Quốc hội đã ban hành Luật Nhà ở số 27/2023/QH15 thay thế Luật Nhà ở năm 2014; Chính phủ ban hành Nghị định số 95/2024/NĐ-CP, ngày 24/7/2024 Quy định chi tiết một số điều của Luật Nhà ở</w:t>
      </w:r>
    </w:p>
    <w:p w:rsidR="00895E13" w:rsidRPr="009D196F" w:rsidRDefault="00895E13" w:rsidP="00895E13">
      <w:pPr>
        <w:pStyle w:val="Vnbnnidung0"/>
        <w:spacing w:before="120" w:after="120" w:line="380" w:lineRule="exact"/>
        <w:ind w:firstLine="709"/>
        <w:jc w:val="both"/>
        <w:rPr>
          <w:rFonts w:cs="Times New Roman"/>
          <w:szCs w:val="28"/>
          <w:lang w:val="pt-BR"/>
        </w:rPr>
      </w:pPr>
      <w:r w:rsidRPr="009D196F">
        <w:rPr>
          <w:rFonts w:eastAsia="Times New Roman" w:cs="Times New Roman"/>
          <w:szCs w:val="28"/>
        </w:rPr>
        <w:t>- Tại</w:t>
      </w:r>
      <w:r w:rsidRPr="009D196F">
        <w:rPr>
          <w:rFonts w:eastAsia="Times New Roman" w:cs="Times New Roman"/>
          <w:szCs w:val="28"/>
          <w:lang w:val="vi-VN"/>
        </w:rPr>
        <w:t xml:space="preserve"> </w:t>
      </w:r>
      <w:r w:rsidRPr="009D196F">
        <w:rPr>
          <w:rFonts w:cs="Times New Roman"/>
          <w:szCs w:val="28"/>
          <w:lang w:val="pt-BR"/>
        </w:rPr>
        <w:t xml:space="preserve">Điểm b Khoản 4 Điều 30 Nghị định số 95/2024/NĐ-CP, ngày 24/7/2024 của </w:t>
      </w:r>
      <w:r w:rsidRPr="009D196F">
        <w:rPr>
          <w:rFonts w:cs="Times New Roman"/>
          <w:color w:val="000000"/>
          <w:szCs w:val="28"/>
          <w:u w:color="FF0000"/>
          <w:lang w:val="pt-BR"/>
        </w:rPr>
        <w:t>Chính phủ giao</w:t>
      </w:r>
      <w:r w:rsidRPr="009D196F">
        <w:rPr>
          <w:rFonts w:cs="Times New Roman"/>
          <w:szCs w:val="28"/>
          <w:lang w:val="pt-BR"/>
        </w:rPr>
        <w:t xml:space="preserve"> UBND tỉnh quy định về điều kiện khoảng cách từ nơi ở đến nơi làm việc của đối tượng công tác tại khu vực nông thôn vùng sâu, vùng xa khu vực có điều kiện kinh tế - xã hội đặc biệt khó khăn, khu vực biên giới như sau để được thuê nhà ở công vụ.</w:t>
      </w:r>
    </w:p>
    <w:p w:rsidR="00895E13" w:rsidRPr="009D196F" w:rsidRDefault="00895E13" w:rsidP="00895E13">
      <w:pPr>
        <w:pStyle w:val="Vnbnnidung0"/>
        <w:spacing w:before="120" w:after="120" w:line="380" w:lineRule="exact"/>
        <w:ind w:firstLine="709"/>
        <w:jc w:val="both"/>
        <w:rPr>
          <w:rFonts w:eastAsia="Times New Roman" w:cs="Times New Roman"/>
          <w:szCs w:val="28"/>
        </w:rPr>
      </w:pPr>
      <w:r w:rsidRPr="009D196F">
        <w:rPr>
          <w:rFonts w:eastAsia="Times New Roman" w:cs="Times New Roman"/>
          <w:szCs w:val="28"/>
        </w:rPr>
        <w:t>- Tại</w:t>
      </w:r>
      <w:r w:rsidRPr="009D196F">
        <w:rPr>
          <w:rFonts w:eastAsia="Times New Roman" w:cs="Times New Roman"/>
          <w:szCs w:val="28"/>
          <w:lang w:val="vi-VN"/>
        </w:rPr>
        <w:t xml:space="preserve"> </w:t>
      </w:r>
      <w:r w:rsidRPr="009D196F">
        <w:rPr>
          <w:rFonts w:cs="Times New Roman"/>
          <w:szCs w:val="28"/>
          <w:lang w:val="pt-BR"/>
        </w:rPr>
        <w:t xml:space="preserve">Điểm a Khoản 2 Điều 31 Nghị định số 95/2024/NĐ-CP, ngày 24/7/2024 của Chính phủ quy định: UBND tỉnh phải ban hành khung </w:t>
      </w:r>
      <w:r w:rsidRPr="009D196F">
        <w:rPr>
          <w:rFonts w:eastAsia="Times New Roman" w:cs="Times New Roman"/>
          <w:szCs w:val="28"/>
        </w:rPr>
        <w:t>giá dịch vụ quản lý vận hành nhà ở công vụ trên địa bàn nơi có nhà ở công vụ.</w:t>
      </w:r>
    </w:p>
    <w:p w:rsidR="00895E13" w:rsidRPr="009D196F" w:rsidRDefault="00895E13" w:rsidP="00895E13">
      <w:pPr>
        <w:pStyle w:val="Vnbnnidung0"/>
        <w:spacing w:before="120" w:after="120" w:line="380" w:lineRule="exact"/>
        <w:ind w:firstLine="709"/>
        <w:jc w:val="both"/>
        <w:rPr>
          <w:rFonts w:cs="Times New Roman"/>
          <w:szCs w:val="28"/>
        </w:rPr>
      </w:pPr>
      <w:r w:rsidRPr="009D196F">
        <w:rPr>
          <w:rFonts w:eastAsia="Times New Roman" w:cs="Times New Roman"/>
          <w:szCs w:val="28"/>
          <w:lang w:val="pt-BR"/>
        </w:rPr>
        <w:t xml:space="preserve">- Tại Khoản 6 Điều 31 </w:t>
      </w:r>
      <w:r w:rsidRPr="009D196F">
        <w:rPr>
          <w:rFonts w:cs="Times New Roman"/>
          <w:szCs w:val="28"/>
          <w:lang w:val="pt-BR"/>
        </w:rPr>
        <w:t xml:space="preserve">Nghị định số 95/2024/NĐ-CP ngày 24/7/2024 của </w:t>
      </w:r>
      <w:r w:rsidRPr="009D196F">
        <w:rPr>
          <w:rFonts w:cs="Times New Roman"/>
          <w:szCs w:val="28"/>
          <w:lang w:val="pt-BR"/>
        </w:rPr>
        <w:lastRenderedPageBreak/>
        <w:t>Chính phủ quy định:</w:t>
      </w:r>
      <w:r w:rsidRPr="009D196F">
        <w:rPr>
          <w:rFonts w:eastAsia="Times New Roman" w:cs="Times New Roman"/>
          <w:szCs w:val="28"/>
          <w:lang w:val="pt-BR"/>
        </w:rPr>
        <w:t xml:space="preserve"> </w:t>
      </w:r>
      <w:r w:rsidRPr="009D196F">
        <w:rPr>
          <w:rFonts w:cs="Times New Roman"/>
          <w:szCs w:val="28"/>
        </w:rPr>
        <w:t>Ủy ban nhân dân cấp tỉnh có trách nhiệm ban hành khung giá cho thuê nhà ở công vụ do địa phương quản lý trên địa bàn.”</w:t>
      </w:r>
    </w:p>
    <w:p w:rsidR="00895E13" w:rsidRPr="009D196F" w:rsidRDefault="00895E13" w:rsidP="00895E13">
      <w:pPr>
        <w:pStyle w:val="Vnbnnidung0"/>
        <w:spacing w:before="120" w:after="120" w:line="380" w:lineRule="exact"/>
        <w:ind w:firstLine="709"/>
        <w:jc w:val="both"/>
        <w:rPr>
          <w:rFonts w:cs="Times New Roman"/>
          <w:szCs w:val="28"/>
        </w:rPr>
      </w:pPr>
      <w:r w:rsidRPr="009D196F">
        <w:rPr>
          <w:rFonts w:cs="Times New Roman"/>
          <w:szCs w:val="28"/>
        </w:rPr>
        <w:t>Vì vậy việc ban hành quy định một số nội dung về quản lý, sử dụng nhà ở công vụ trên địa bàn tỉnh hiện nay là cần thiết và phù hợp quy định của pháp luật.</w:t>
      </w:r>
    </w:p>
    <w:p w:rsidR="00895E13" w:rsidRPr="009D196F" w:rsidRDefault="00895E13" w:rsidP="00895E13">
      <w:pPr>
        <w:spacing w:before="120" w:after="120" w:line="380" w:lineRule="exact"/>
        <w:ind w:firstLine="709"/>
        <w:jc w:val="both"/>
        <w:rPr>
          <w:rFonts w:cs="Times New Roman"/>
          <w:szCs w:val="28"/>
        </w:rPr>
      </w:pPr>
      <w:r w:rsidRPr="009D196F">
        <w:rPr>
          <w:rFonts w:cs="Times New Roman"/>
          <w:b/>
          <w:szCs w:val="28"/>
        </w:rPr>
        <w:t>II.</w:t>
      </w:r>
      <w:r w:rsidRPr="009D196F">
        <w:rPr>
          <w:rFonts w:cs="Times New Roman"/>
          <w:szCs w:val="28"/>
        </w:rPr>
        <w:t xml:space="preserve"> </w:t>
      </w:r>
      <w:r w:rsidR="00EF3974" w:rsidRPr="009D196F">
        <w:rPr>
          <w:rFonts w:eastAsia="Times New Roman" w:cs="Times New Roman"/>
          <w:b/>
          <w:bCs/>
          <w:szCs w:val="28"/>
        </w:rPr>
        <w:t>Nội dung cơ bản của dự thảo Quy định</w:t>
      </w:r>
    </w:p>
    <w:p w:rsidR="00EF3974" w:rsidRPr="009D196F" w:rsidRDefault="00EF3974" w:rsidP="00EF3974">
      <w:pPr>
        <w:spacing w:after="120" w:line="400" w:lineRule="exact"/>
        <w:ind w:firstLine="709"/>
        <w:jc w:val="both"/>
        <w:rPr>
          <w:rFonts w:cs="Times New Roman"/>
          <w:b/>
          <w:szCs w:val="28"/>
        </w:rPr>
      </w:pPr>
      <w:r w:rsidRPr="009D196F">
        <w:rPr>
          <w:rFonts w:cs="Times New Roman"/>
          <w:b/>
          <w:bCs/>
          <w:szCs w:val="28"/>
        </w:rPr>
        <w:t>1.</w:t>
      </w:r>
      <w:r w:rsidRPr="009D196F">
        <w:rPr>
          <w:rFonts w:cs="Times New Roman"/>
          <w:b/>
          <w:szCs w:val="28"/>
        </w:rPr>
        <w:t xml:space="preserve"> Phạm vi điều chỉnh và đối tượng áp dụng</w:t>
      </w:r>
    </w:p>
    <w:p w:rsidR="00EF3974" w:rsidRPr="009D196F" w:rsidRDefault="00EF3974" w:rsidP="00EF3974">
      <w:pPr>
        <w:ind w:firstLine="709"/>
      </w:pPr>
      <w:r w:rsidRPr="009D196F">
        <w:rPr>
          <w:rFonts w:cs="Times New Roman"/>
          <w:b/>
          <w:szCs w:val="28"/>
        </w:rPr>
        <w:t>1.1.</w:t>
      </w:r>
      <w:r w:rsidRPr="009D196F">
        <w:t xml:space="preserve"> </w:t>
      </w:r>
      <w:r w:rsidRPr="009D196F">
        <w:rPr>
          <w:rFonts w:cs="Times New Roman"/>
          <w:b/>
          <w:szCs w:val="28"/>
        </w:rPr>
        <w:t>Phạm vi điều chỉnh</w:t>
      </w:r>
    </w:p>
    <w:p w:rsidR="00EF3974" w:rsidRPr="009D196F" w:rsidRDefault="00EF3974" w:rsidP="00EF3974">
      <w:pPr>
        <w:spacing w:after="120" w:line="400" w:lineRule="exact"/>
        <w:ind w:firstLine="709"/>
        <w:jc w:val="both"/>
        <w:rPr>
          <w:rFonts w:cs="Times New Roman"/>
          <w:szCs w:val="28"/>
        </w:rPr>
      </w:pPr>
      <w:r w:rsidRPr="009D196F">
        <w:rPr>
          <w:rFonts w:cs="Times New Roman"/>
          <w:szCs w:val="28"/>
        </w:rPr>
        <w:t>- Quy định này quy định cụ thể một số nội dung về quản lý, sử dụng nhà ở công vụ trên địa bàn tỉnh Lai Châu.</w:t>
      </w:r>
    </w:p>
    <w:p w:rsidR="00EF3974" w:rsidRPr="009D196F" w:rsidRDefault="00EF3974" w:rsidP="00EF3974">
      <w:pPr>
        <w:spacing w:after="120" w:line="400" w:lineRule="exact"/>
        <w:ind w:firstLine="709"/>
        <w:jc w:val="both"/>
        <w:rPr>
          <w:rFonts w:cs="Times New Roman"/>
          <w:szCs w:val="28"/>
        </w:rPr>
      </w:pPr>
      <w:r w:rsidRPr="009D196F">
        <w:rPr>
          <w:rFonts w:cs="Times New Roman"/>
          <w:szCs w:val="28"/>
        </w:rPr>
        <w:t>- Quy định này không điều chỉnh đối với nhà ở công vụ của lực lượng vũ trang trên địa bàn tỉnh.</w:t>
      </w:r>
    </w:p>
    <w:p w:rsidR="00EF3974" w:rsidRPr="009D196F" w:rsidRDefault="00EF3974" w:rsidP="00EF3974">
      <w:pPr>
        <w:spacing w:before="120" w:after="120" w:line="400" w:lineRule="exact"/>
        <w:ind w:firstLine="709"/>
        <w:jc w:val="both"/>
        <w:rPr>
          <w:rFonts w:cs="Times New Roman"/>
          <w:b/>
          <w:szCs w:val="28"/>
        </w:rPr>
      </w:pPr>
      <w:r w:rsidRPr="009D196F">
        <w:rPr>
          <w:rFonts w:cs="Times New Roman"/>
          <w:b/>
          <w:bCs/>
          <w:szCs w:val="28"/>
        </w:rPr>
        <w:t>1.2.</w:t>
      </w:r>
      <w:r w:rsidRPr="009D196F">
        <w:rPr>
          <w:rFonts w:cs="Times New Roman"/>
          <w:b/>
          <w:szCs w:val="28"/>
        </w:rPr>
        <w:t xml:space="preserve"> Đối tượng áp dụng</w:t>
      </w:r>
    </w:p>
    <w:p w:rsidR="00EF3974" w:rsidRPr="009D196F" w:rsidRDefault="00EF3974" w:rsidP="00EF3974">
      <w:pPr>
        <w:shd w:val="clear" w:color="auto" w:fill="FFFFFF"/>
        <w:spacing w:before="120" w:after="120" w:line="400" w:lineRule="exact"/>
        <w:ind w:firstLine="720"/>
        <w:jc w:val="both"/>
        <w:rPr>
          <w:rFonts w:eastAsia="Times New Roman" w:cs="Times New Roman"/>
          <w:szCs w:val="28"/>
          <w:lang w:val="pt-BR"/>
        </w:rPr>
      </w:pPr>
      <w:r w:rsidRPr="009D196F">
        <w:rPr>
          <w:rFonts w:eastAsia="Times New Roman" w:cs="Times New Roman"/>
          <w:szCs w:val="28"/>
          <w:lang w:val="pt-BR"/>
        </w:rPr>
        <w:t xml:space="preserve">- Các đối tượng được thuê nhà ở công vụ theo quy định tại khoản 1 Điều 45 của Luật Nhà ở số 27/2023/QH15, ngày 27 tháng 11 năm 2023 </w:t>
      </w:r>
      <w:r w:rsidRPr="009D196F">
        <w:rPr>
          <w:rFonts w:eastAsia="Times New Roman" w:cs="Times New Roman"/>
          <w:szCs w:val="28"/>
        </w:rPr>
        <w:t>(không bao gồm đối tượng tại điểm d khoản 1 Điều 45 Luật Nhà ở).</w:t>
      </w:r>
    </w:p>
    <w:p w:rsidR="00EF3974" w:rsidRPr="009D196F" w:rsidRDefault="00EF3974" w:rsidP="00EF3974">
      <w:pPr>
        <w:shd w:val="clear" w:color="auto" w:fill="FFFFFF"/>
        <w:spacing w:before="120" w:after="120" w:line="400" w:lineRule="exact"/>
        <w:ind w:firstLine="720"/>
        <w:jc w:val="both"/>
        <w:rPr>
          <w:rFonts w:eastAsia="Times New Roman" w:cs="Times New Roman"/>
          <w:szCs w:val="28"/>
          <w:lang w:val="pt-BR"/>
        </w:rPr>
      </w:pPr>
      <w:r w:rsidRPr="009D196F">
        <w:rPr>
          <w:rFonts w:eastAsia="Times New Roman" w:cs="Times New Roman"/>
          <w:szCs w:val="28"/>
          <w:lang w:val="pt-BR"/>
        </w:rPr>
        <w:t xml:space="preserve">- Các cơ quan quản lý nhà nước về nhà ở, đơn vị quản lý vận hành nhà ở công vụ trên địa bàn tỉnh Lai Châu. </w:t>
      </w:r>
    </w:p>
    <w:p w:rsidR="00EF3974" w:rsidRPr="009D196F" w:rsidRDefault="00EF3974" w:rsidP="00EF3974">
      <w:pPr>
        <w:spacing w:before="120" w:after="120" w:line="380" w:lineRule="exact"/>
        <w:ind w:firstLine="709"/>
        <w:jc w:val="both"/>
        <w:rPr>
          <w:rFonts w:eastAsia="Times New Roman" w:cs="Times New Roman"/>
          <w:szCs w:val="28"/>
          <w:lang w:val="pt-BR"/>
        </w:rPr>
      </w:pPr>
      <w:r w:rsidRPr="009D196F">
        <w:rPr>
          <w:rFonts w:eastAsia="Times New Roman" w:cs="Times New Roman"/>
          <w:szCs w:val="28"/>
          <w:lang w:val="pt-BR"/>
        </w:rPr>
        <w:t>- Các tổ chức, cá nhân khác có liên quan đến việc quản lý, sử dụng nhà ở công vụ.</w:t>
      </w:r>
    </w:p>
    <w:p w:rsidR="00EF3974" w:rsidRPr="009D196F" w:rsidRDefault="00EF3974" w:rsidP="00EF3974">
      <w:pPr>
        <w:spacing w:before="120" w:after="120" w:line="360" w:lineRule="exact"/>
        <w:ind w:firstLine="709"/>
        <w:jc w:val="both"/>
        <w:rPr>
          <w:rFonts w:cs="Times New Roman"/>
          <w:b/>
          <w:bCs/>
          <w:szCs w:val="28"/>
        </w:rPr>
      </w:pPr>
      <w:r w:rsidRPr="009D196F">
        <w:rPr>
          <w:rFonts w:cs="Times New Roman"/>
          <w:b/>
          <w:bCs/>
          <w:szCs w:val="28"/>
        </w:rPr>
        <w:t>2. Nội dung cơ bản của dự thảo quy định</w:t>
      </w:r>
    </w:p>
    <w:p w:rsidR="00EF3974" w:rsidRPr="009D196F" w:rsidRDefault="00EF3974" w:rsidP="00EF3974">
      <w:pPr>
        <w:spacing w:before="120" w:after="120" w:line="360" w:lineRule="exact"/>
        <w:ind w:firstLine="709"/>
        <w:jc w:val="both"/>
        <w:rPr>
          <w:rFonts w:cs="Times New Roman"/>
          <w:szCs w:val="28"/>
        </w:rPr>
      </w:pPr>
      <w:r w:rsidRPr="009D196F">
        <w:rPr>
          <w:rFonts w:cs="Times New Roman"/>
          <w:bCs/>
          <w:szCs w:val="28"/>
        </w:rPr>
        <w:t xml:space="preserve">- </w:t>
      </w:r>
      <w:r w:rsidRPr="009D196F">
        <w:rPr>
          <w:rFonts w:cs="Times New Roman"/>
          <w:bCs/>
          <w:szCs w:val="28"/>
          <w:lang w:val="vi-VN"/>
        </w:rPr>
        <w:t>Quy định</w:t>
      </w:r>
      <w:r w:rsidRPr="009D196F">
        <w:rPr>
          <w:rFonts w:cs="Times New Roman"/>
          <w:bCs/>
          <w:szCs w:val="28"/>
        </w:rPr>
        <w:t xml:space="preserve"> về</w:t>
      </w:r>
      <w:r w:rsidRPr="009D196F">
        <w:rPr>
          <w:rFonts w:cs="Times New Roman"/>
          <w:b/>
          <w:bCs/>
          <w:szCs w:val="28"/>
        </w:rPr>
        <w:t xml:space="preserve"> </w:t>
      </w:r>
      <w:r w:rsidRPr="009D196F">
        <w:rPr>
          <w:rFonts w:cs="Times New Roman"/>
          <w:bCs/>
          <w:szCs w:val="28"/>
        </w:rPr>
        <w:t>đ</w:t>
      </w:r>
      <w:r w:rsidRPr="009D196F">
        <w:rPr>
          <w:rFonts w:cs="Times New Roman"/>
          <w:szCs w:val="28"/>
        </w:rPr>
        <w:t xml:space="preserve">iều kiện được thuê nhà ở công vụ đối với trường hợp đến công tác tại khu vực nông thôn vùng sâu, vùng xa có điều kiện kinh tế - xã hội đặc biệt khó khăn, khu vực biên giới: </w:t>
      </w:r>
    </w:p>
    <w:p w:rsidR="00EF3974" w:rsidRPr="009D196F" w:rsidRDefault="00EF3974" w:rsidP="00EF3974">
      <w:pPr>
        <w:spacing w:before="120" w:after="120" w:line="360" w:lineRule="exact"/>
        <w:ind w:firstLine="709"/>
        <w:jc w:val="both"/>
        <w:rPr>
          <w:rFonts w:cs="Times New Roman"/>
          <w:szCs w:val="28"/>
        </w:rPr>
      </w:pPr>
      <w:r w:rsidRPr="009D196F">
        <w:rPr>
          <w:rFonts w:cs="Times New Roman"/>
          <w:szCs w:val="28"/>
        </w:rPr>
        <w:t>+ Có quyết định điều động, luân chuyển, biệt phái hoặc cử đến công tác tại các khu vực nông thôn vùng sâu, vùng xa có điều kiện kinh tế - xã hội đặc biệt khó khăn, khu vực biên giới.</w:t>
      </w:r>
    </w:p>
    <w:p w:rsidR="00EF3974" w:rsidRPr="009D196F" w:rsidRDefault="00EF3974" w:rsidP="00EF3974">
      <w:pPr>
        <w:spacing w:before="120" w:after="120" w:line="360" w:lineRule="exact"/>
        <w:ind w:firstLine="709"/>
        <w:jc w:val="both"/>
        <w:rPr>
          <w:rFonts w:cs="Times New Roman"/>
          <w:iCs/>
          <w:szCs w:val="28"/>
        </w:rPr>
      </w:pPr>
      <w:r w:rsidRPr="009D196F">
        <w:rPr>
          <w:rFonts w:cs="Times New Roman"/>
          <w:szCs w:val="28"/>
        </w:rPr>
        <w:t xml:space="preserve">+ Thuộc diện chưa có nhà ở thuộc sở hữu của mình và chưa được thuê, thuê mua hoặc mua nhà ở xã hội tại nơi đến công tác hoặc đã có nhà ở thuộc sở hữu của mình tại nơi đến công tác nhưng có diện tích nhà ở bình quân trong hộ gia đình dưới 20 </w:t>
      </w:r>
      <w:r w:rsidRPr="009D196F">
        <w:rPr>
          <w:rFonts w:cs="Times New Roman"/>
          <w:color w:val="000000"/>
          <w:szCs w:val="28"/>
          <w:u w:color="FF0000"/>
        </w:rPr>
        <w:t>m</w:t>
      </w:r>
      <w:r w:rsidRPr="009D196F">
        <w:rPr>
          <w:rFonts w:cs="Times New Roman"/>
          <w:color w:val="000000"/>
          <w:szCs w:val="28"/>
          <w:u w:color="FF0000"/>
          <w:vertAlign w:val="superscript"/>
        </w:rPr>
        <w:t>2</w:t>
      </w:r>
      <w:r w:rsidRPr="009D196F">
        <w:rPr>
          <w:rFonts w:cs="Times New Roman"/>
          <w:color w:val="000000"/>
          <w:szCs w:val="28"/>
          <w:u w:color="FF0000"/>
        </w:rPr>
        <w:t xml:space="preserve"> sàn</w:t>
      </w:r>
      <w:r w:rsidRPr="009D196F">
        <w:rPr>
          <w:rFonts w:cs="Times New Roman"/>
          <w:szCs w:val="28"/>
        </w:rPr>
        <w:t>/người</w:t>
      </w:r>
      <w:r w:rsidRPr="009D196F">
        <w:rPr>
          <w:rFonts w:cs="Times New Roman"/>
          <w:iCs/>
          <w:szCs w:val="28"/>
        </w:rPr>
        <w:t xml:space="preserve">. </w:t>
      </w:r>
    </w:p>
    <w:p w:rsidR="00EF3974" w:rsidRPr="009D196F" w:rsidRDefault="00EF3974" w:rsidP="00EF3974">
      <w:pPr>
        <w:spacing w:before="120" w:after="120" w:line="360" w:lineRule="exact"/>
        <w:ind w:firstLine="709"/>
        <w:jc w:val="both"/>
        <w:rPr>
          <w:rFonts w:cs="Times New Roman"/>
          <w:bCs/>
          <w:szCs w:val="28"/>
          <w:lang w:val="vi-VN"/>
        </w:rPr>
      </w:pPr>
      <w:r w:rsidRPr="009D196F">
        <w:rPr>
          <w:rFonts w:cs="Times New Roman"/>
          <w:szCs w:val="28"/>
        </w:rPr>
        <w:t>+ Khoảng cách từ nơi ở đến nơi công tác phải đảm bảo tối thiểu 10 km.</w:t>
      </w:r>
      <w:r w:rsidRPr="009D196F">
        <w:rPr>
          <w:rFonts w:cs="Times New Roman"/>
          <w:bCs/>
          <w:szCs w:val="28"/>
          <w:lang w:val="vi-VN"/>
        </w:rPr>
        <w:t xml:space="preserve"> </w:t>
      </w:r>
    </w:p>
    <w:p w:rsidR="00EF3974" w:rsidRPr="009D196F" w:rsidRDefault="00EF3974" w:rsidP="00EF3974">
      <w:pPr>
        <w:spacing w:before="120" w:after="120" w:line="360" w:lineRule="exact"/>
        <w:ind w:firstLine="709"/>
        <w:jc w:val="both"/>
        <w:rPr>
          <w:rFonts w:eastAsia="Times New Roman" w:cs="Times New Roman"/>
          <w:szCs w:val="28"/>
        </w:rPr>
      </w:pPr>
      <w:r w:rsidRPr="009D196F">
        <w:rPr>
          <w:rFonts w:eastAsia="Times New Roman" w:cs="Times New Roman"/>
          <w:szCs w:val="28"/>
        </w:rPr>
        <w:t>- Quy định về đ</w:t>
      </w:r>
      <w:r w:rsidRPr="009D196F">
        <w:rPr>
          <w:rFonts w:eastAsia="Times New Roman" w:cs="Times New Roman"/>
          <w:szCs w:val="28"/>
          <w:lang w:val="vi-VN"/>
        </w:rPr>
        <w:t xml:space="preserve">ơn vị quản lý vận hành nhà ở công vụ:  </w:t>
      </w:r>
    </w:p>
    <w:p w:rsidR="00EF3974" w:rsidRPr="009D196F" w:rsidRDefault="00EF3974" w:rsidP="00EF3974">
      <w:pPr>
        <w:spacing w:before="120" w:after="120" w:line="360" w:lineRule="exact"/>
        <w:ind w:firstLine="709"/>
        <w:jc w:val="both"/>
        <w:rPr>
          <w:rFonts w:eastAsia="Times New Roman" w:cs="Times New Roman"/>
          <w:szCs w:val="28"/>
        </w:rPr>
      </w:pPr>
      <w:r w:rsidRPr="009D196F">
        <w:rPr>
          <w:rFonts w:eastAsia="Times New Roman" w:cs="Times New Roman"/>
          <w:szCs w:val="28"/>
        </w:rPr>
        <w:lastRenderedPageBreak/>
        <w:t>+</w:t>
      </w:r>
      <w:r w:rsidRPr="009D196F">
        <w:rPr>
          <w:rFonts w:eastAsia="Times New Roman" w:cs="Times New Roman"/>
          <w:szCs w:val="28"/>
          <w:lang w:val="vi-VN"/>
        </w:rPr>
        <w:t xml:space="preserve"> Sở Xây dựng quản lý </w:t>
      </w:r>
      <w:r w:rsidRPr="009D196F">
        <w:rPr>
          <w:rFonts w:eastAsia="Times New Roman" w:cs="Times New Roman"/>
          <w:szCs w:val="28"/>
        </w:rPr>
        <w:t xml:space="preserve">vận hành </w:t>
      </w:r>
      <w:r w:rsidRPr="009D196F">
        <w:rPr>
          <w:rFonts w:eastAsia="Times New Roman" w:cs="Times New Roman"/>
          <w:szCs w:val="28"/>
          <w:lang w:val="vi-VN"/>
        </w:rPr>
        <w:t xml:space="preserve">nhà ở công vụ </w:t>
      </w:r>
      <w:r w:rsidRPr="009D196F">
        <w:rPr>
          <w:rFonts w:eastAsia="Times New Roman" w:cs="Times New Roman"/>
          <w:szCs w:val="28"/>
        </w:rPr>
        <w:t xml:space="preserve">tỉnh Lai Châu </w:t>
      </w:r>
      <w:r w:rsidRPr="009D196F">
        <w:rPr>
          <w:rFonts w:eastAsia="Times New Roman" w:cs="Times New Roman"/>
          <w:szCs w:val="28"/>
          <w:lang w:val="vi-VN"/>
        </w:rPr>
        <w:t xml:space="preserve">và nhà ở </w:t>
      </w:r>
      <w:r w:rsidRPr="009D196F">
        <w:rPr>
          <w:rFonts w:eastAsia="Times New Roman" w:cs="Times New Roman"/>
          <w:szCs w:val="28"/>
        </w:rPr>
        <w:t xml:space="preserve">công vụ </w:t>
      </w:r>
      <w:r w:rsidRPr="009D196F">
        <w:rPr>
          <w:rFonts w:eastAsia="Times New Roman" w:cs="Times New Roman"/>
          <w:szCs w:val="28"/>
          <w:lang w:val="vi-VN"/>
        </w:rPr>
        <w:t xml:space="preserve">được cơ quan Trung </w:t>
      </w:r>
      <w:r w:rsidRPr="009D196F">
        <w:rPr>
          <w:rFonts w:eastAsia="Times New Roman" w:cs="Times New Roman"/>
          <w:color w:val="000000"/>
          <w:szCs w:val="28"/>
          <w:u w:color="FF0000"/>
          <w:lang w:val="vi-VN"/>
        </w:rPr>
        <w:t>ương giao</w:t>
      </w:r>
      <w:r w:rsidRPr="009D196F">
        <w:rPr>
          <w:rFonts w:eastAsia="Times New Roman" w:cs="Times New Roman"/>
          <w:szCs w:val="28"/>
          <w:lang w:val="vi-VN"/>
        </w:rPr>
        <w:t xml:space="preserve"> UBND tỉnh quản lý trên địa bàn tỉnh</w:t>
      </w:r>
      <w:r w:rsidRPr="009D196F">
        <w:rPr>
          <w:rFonts w:eastAsia="Times New Roman" w:cs="Times New Roman"/>
          <w:szCs w:val="28"/>
        </w:rPr>
        <w:t>.</w:t>
      </w:r>
    </w:p>
    <w:p w:rsidR="00EF3974" w:rsidRPr="009D196F" w:rsidRDefault="00EF3974" w:rsidP="00EF3974">
      <w:pPr>
        <w:spacing w:before="120" w:after="120" w:line="360" w:lineRule="exact"/>
        <w:ind w:firstLine="709"/>
        <w:jc w:val="both"/>
        <w:rPr>
          <w:rFonts w:eastAsia="Times New Roman" w:cs="Times New Roman"/>
          <w:szCs w:val="28"/>
          <w:lang w:val="vi-VN"/>
        </w:rPr>
      </w:pPr>
      <w:r w:rsidRPr="009D196F">
        <w:rPr>
          <w:rFonts w:eastAsia="Times New Roman" w:cs="Times New Roman"/>
          <w:szCs w:val="28"/>
        </w:rPr>
        <w:t>+</w:t>
      </w:r>
      <w:r w:rsidRPr="009D196F">
        <w:rPr>
          <w:rFonts w:eastAsia="Times New Roman" w:cs="Times New Roman"/>
          <w:szCs w:val="28"/>
          <w:lang w:val="vi-VN"/>
        </w:rPr>
        <w:t xml:space="preserve"> Trường học hoặc cơ sở y tế thực hiện việc quản lý vận hành nhà ở công vụ dành cho đối tượng là giáo viên, bác sĩ, nhân viên y tế </w:t>
      </w:r>
      <w:r w:rsidRPr="009D196F">
        <w:rPr>
          <w:rFonts w:eastAsia="Times New Roman" w:cs="Times New Roman"/>
          <w:szCs w:val="28"/>
        </w:rPr>
        <w:t xml:space="preserve">trong </w:t>
      </w:r>
      <w:r w:rsidRPr="009D196F">
        <w:rPr>
          <w:rFonts w:eastAsia="Times New Roman" w:cs="Times New Roman"/>
          <w:szCs w:val="28"/>
          <w:lang w:val="vi-VN"/>
        </w:rPr>
        <w:t>khuôn viên hoặc nằm kề khuôn viên trường học, cơ sở y tế</w:t>
      </w:r>
      <w:r w:rsidRPr="009D196F">
        <w:rPr>
          <w:rFonts w:eastAsia="Times New Roman" w:cs="Times New Roman"/>
          <w:szCs w:val="28"/>
        </w:rPr>
        <w:t xml:space="preserve"> đang được giao quản lý, sử dụng</w:t>
      </w:r>
      <w:r w:rsidRPr="009D196F">
        <w:rPr>
          <w:rFonts w:eastAsia="Times New Roman" w:cs="Times New Roman"/>
          <w:szCs w:val="28"/>
          <w:lang w:val="vi-VN"/>
        </w:rPr>
        <w:t>.</w:t>
      </w:r>
    </w:p>
    <w:p w:rsidR="00EF3974" w:rsidRPr="009D196F" w:rsidRDefault="00EF3974" w:rsidP="00EF3974">
      <w:pPr>
        <w:spacing w:before="120" w:after="120" w:line="360" w:lineRule="exact"/>
        <w:ind w:firstLine="709"/>
        <w:jc w:val="both"/>
        <w:rPr>
          <w:rFonts w:eastAsia="Times New Roman" w:cs="Times New Roman"/>
          <w:szCs w:val="28"/>
          <w:lang w:val="vi-VN"/>
        </w:rPr>
      </w:pPr>
      <w:r w:rsidRPr="009D196F">
        <w:rPr>
          <w:rFonts w:eastAsia="Times New Roman" w:cs="Times New Roman"/>
          <w:szCs w:val="28"/>
        </w:rPr>
        <w:t>+</w:t>
      </w:r>
      <w:r w:rsidRPr="009D196F">
        <w:rPr>
          <w:rFonts w:eastAsia="Times New Roman" w:cs="Times New Roman"/>
          <w:szCs w:val="28"/>
          <w:lang w:val="vi-VN"/>
        </w:rPr>
        <w:t xml:space="preserve"> Đối với nhà ở công vụ không thuộc trường hợp quy định </w:t>
      </w:r>
      <w:r w:rsidRPr="009D196F">
        <w:rPr>
          <w:rFonts w:eastAsia="Times New Roman" w:cs="Times New Roman"/>
          <w:szCs w:val="28"/>
        </w:rPr>
        <w:t>nêu trên</w:t>
      </w:r>
      <w:r w:rsidRPr="009D196F">
        <w:rPr>
          <w:rFonts w:eastAsia="Times New Roman" w:cs="Times New Roman"/>
          <w:szCs w:val="28"/>
          <w:lang w:val="vi-VN"/>
        </w:rPr>
        <w:t>, đơn vị được giao quản lý tài sản tổ chức quản lý vận hành hoặc lựa chọn đơn vị quản lý vận hành theo quy định.</w:t>
      </w:r>
    </w:p>
    <w:p w:rsidR="00EF3974" w:rsidRPr="009D196F" w:rsidRDefault="00EF3974" w:rsidP="00EF3974">
      <w:pPr>
        <w:spacing w:before="120" w:after="120" w:line="360" w:lineRule="exact"/>
        <w:ind w:firstLine="709"/>
        <w:jc w:val="both"/>
        <w:rPr>
          <w:rFonts w:cs="Times New Roman"/>
          <w:bCs/>
          <w:szCs w:val="28"/>
        </w:rPr>
      </w:pPr>
      <w:r w:rsidRPr="009D196F">
        <w:rPr>
          <w:rFonts w:cs="Times New Roman"/>
          <w:bCs/>
          <w:szCs w:val="28"/>
        </w:rPr>
        <w:t>- Quy định về khung giá quản lý vận hành, khung giá cho thuê nhà ở công vụ trên địa bàn tỉnh:</w:t>
      </w:r>
    </w:p>
    <w:p w:rsidR="00EF3974" w:rsidRPr="009D196F" w:rsidRDefault="00EF3974" w:rsidP="00EF3974">
      <w:pPr>
        <w:spacing w:after="120" w:line="400" w:lineRule="exact"/>
        <w:ind w:firstLine="709"/>
        <w:jc w:val="both"/>
        <w:rPr>
          <w:rFonts w:eastAsia="Times New Roman" w:cs="Times New Roman"/>
          <w:szCs w:val="28"/>
        </w:rPr>
      </w:pPr>
      <w:r w:rsidRPr="009D196F">
        <w:rPr>
          <w:rFonts w:eastAsia="Times New Roman" w:cs="Times New Roman"/>
          <w:szCs w:val="28"/>
        </w:rPr>
        <w:t>+ Khung giá để xác định giá dịch vụ quản lý vận hành nhà ở công vụ trên địa bàn tỉnh Lai Châu như sau:</w:t>
      </w:r>
    </w:p>
    <w:tbl>
      <w:tblPr>
        <w:tblW w:w="90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1"/>
        <w:gridCol w:w="3034"/>
        <w:gridCol w:w="2767"/>
        <w:gridCol w:w="2462"/>
      </w:tblGrid>
      <w:tr w:rsidR="00EF3974" w:rsidRPr="009D196F" w:rsidTr="000C2AE3">
        <w:trPr>
          <w:trHeight w:val="84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9D196F">
              <w:rPr>
                <w:rFonts w:cs="Times New Roman"/>
                <w:b/>
                <w:color w:val="000000"/>
                <w:szCs w:val="28"/>
              </w:rPr>
              <w:t>STT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9D196F">
              <w:rPr>
                <w:rFonts w:cs="Times New Roman"/>
                <w:b/>
                <w:color w:val="000000"/>
                <w:szCs w:val="28"/>
              </w:rPr>
              <w:t xml:space="preserve">Nội dung 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9D196F">
              <w:rPr>
                <w:rFonts w:cs="Times New Roman"/>
                <w:b/>
                <w:color w:val="000000"/>
                <w:szCs w:val="28"/>
              </w:rPr>
              <w:t>Khung giá tối thiểu (</w:t>
            </w:r>
            <w:r w:rsidRPr="009D196F">
              <w:rPr>
                <w:rFonts w:cs="Times New Roman"/>
                <w:b/>
                <w:color w:val="000000"/>
                <w:szCs w:val="28"/>
                <w:u w:color="FF0000"/>
              </w:rPr>
              <w:t>đồng/m</w:t>
            </w:r>
            <w:r w:rsidRPr="009D196F">
              <w:rPr>
                <w:rFonts w:cs="Times New Roman"/>
                <w:b/>
                <w:color w:val="000000"/>
                <w:szCs w:val="28"/>
                <w:u w:color="FF0000"/>
                <w:vertAlign w:val="superscript"/>
              </w:rPr>
              <w:t>2</w:t>
            </w:r>
            <w:r w:rsidRPr="009D196F">
              <w:rPr>
                <w:rFonts w:cs="Times New Roman"/>
                <w:b/>
                <w:color w:val="000000"/>
                <w:szCs w:val="28"/>
                <w:u w:color="FF0000"/>
              </w:rPr>
              <w:t>/tháng</w:t>
            </w:r>
            <w:r w:rsidRPr="009D196F">
              <w:rPr>
                <w:rFonts w:cs="Times New Roman"/>
                <w:b/>
                <w:color w:val="000000"/>
                <w:szCs w:val="28"/>
              </w:rPr>
              <w:t>)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9D196F">
              <w:rPr>
                <w:rFonts w:cs="Times New Roman"/>
                <w:b/>
                <w:color w:val="000000"/>
                <w:szCs w:val="28"/>
              </w:rPr>
              <w:t xml:space="preserve">Khung giá tối đa </w:t>
            </w:r>
          </w:p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9D196F">
              <w:rPr>
                <w:rFonts w:cs="Times New Roman"/>
                <w:b/>
                <w:color w:val="000000"/>
                <w:szCs w:val="28"/>
              </w:rPr>
              <w:t>(</w:t>
            </w:r>
            <w:r w:rsidRPr="009D196F">
              <w:rPr>
                <w:rFonts w:cs="Times New Roman"/>
                <w:b/>
                <w:color w:val="000000"/>
                <w:szCs w:val="28"/>
                <w:u w:color="FF0000"/>
              </w:rPr>
              <w:t>đồng/m</w:t>
            </w:r>
            <w:r w:rsidRPr="009D196F">
              <w:rPr>
                <w:rFonts w:cs="Times New Roman"/>
                <w:b/>
                <w:color w:val="000000"/>
                <w:szCs w:val="28"/>
                <w:u w:color="FF0000"/>
                <w:vertAlign w:val="superscript"/>
              </w:rPr>
              <w:t>2</w:t>
            </w:r>
            <w:r w:rsidRPr="009D196F">
              <w:rPr>
                <w:rFonts w:cs="Times New Roman"/>
                <w:b/>
                <w:color w:val="000000"/>
                <w:szCs w:val="28"/>
                <w:u w:color="FF0000"/>
              </w:rPr>
              <w:t>/tháng</w:t>
            </w:r>
            <w:r w:rsidRPr="009D196F">
              <w:rPr>
                <w:rFonts w:cs="Times New Roman"/>
                <w:b/>
                <w:color w:val="000000"/>
                <w:szCs w:val="28"/>
              </w:rPr>
              <w:t>)</w:t>
            </w:r>
          </w:p>
        </w:tc>
      </w:tr>
      <w:tr w:rsidR="00EF3974" w:rsidRPr="009D196F" w:rsidTr="000C2AE3">
        <w:trPr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3034" w:type="dxa"/>
            <w:shd w:val="clear" w:color="auto" w:fill="auto"/>
          </w:tcPr>
          <w:p w:rsidR="00EF3974" w:rsidRPr="009D196F" w:rsidRDefault="00EF3974" w:rsidP="000C2AE3">
            <w:pPr>
              <w:spacing w:before="120" w:after="120"/>
              <w:jc w:val="both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szCs w:val="28"/>
              </w:rPr>
              <w:t xml:space="preserve">Nhà ở công vụ 1 tầng tại khu vực </w:t>
            </w:r>
            <w:r w:rsidRPr="009D196F">
              <w:rPr>
                <w:rFonts w:cs="Times New Roman"/>
                <w:color w:val="000000"/>
                <w:szCs w:val="28"/>
                <w:u w:color="FF0000"/>
              </w:rPr>
              <w:t>cấp xã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EF3974" w:rsidRPr="009D196F" w:rsidRDefault="00EF3974" w:rsidP="000C2AE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5.00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EF3974" w:rsidRPr="009D196F" w:rsidRDefault="00EF3974" w:rsidP="000C2AE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7.600</w:t>
            </w:r>
          </w:p>
        </w:tc>
      </w:tr>
      <w:tr w:rsidR="00EF3974" w:rsidRPr="009D196F" w:rsidTr="000C2AE3">
        <w:trPr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3034" w:type="dxa"/>
            <w:shd w:val="clear" w:color="auto" w:fill="auto"/>
          </w:tcPr>
          <w:p w:rsidR="00EF3974" w:rsidRPr="009D196F" w:rsidRDefault="00EF3974" w:rsidP="000C2AE3">
            <w:pPr>
              <w:spacing w:before="120" w:after="120"/>
              <w:jc w:val="both"/>
              <w:rPr>
                <w:rFonts w:cs="Times New Roman"/>
                <w:color w:val="000000"/>
                <w:szCs w:val="28"/>
                <w:u w:color="FF0000"/>
              </w:rPr>
            </w:pPr>
            <w:r w:rsidRPr="009D196F">
              <w:rPr>
                <w:rFonts w:cs="Times New Roman"/>
                <w:szCs w:val="28"/>
              </w:rPr>
              <w:t xml:space="preserve">Nhà ở công vụ từ 02-05 tầng, kết cấu khung, mái BTCT, tường bao </w:t>
            </w:r>
            <w:r w:rsidRPr="009D196F">
              <w:rPr>
                <w:rFonts w:cs="Times New Roman"/>
                <w:color w:val="000000"/>
                <w:szCs w:val="28"/>
                <w:u w:color="FF0000"/>
              </w:rPr>
              <w:t>che xây gạch</w:t>
            </w:r>
            <w:r w:rsidRPr="009D196F">
              <w:rPr>
                <w:rFonts w:cs="Times New Roman"/>
                <w:szCs w:val="28"/>
              </w:rPr>
              <w:t>, không có thang máy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EF3974" w:rsidRPr="009D196F" w:rsidRDefault="00EF3974" w:rsidP="000C2AE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12.100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EF3974" w:rsidRPr="009D196F" w:rsidRDefault="00EF3974" w:rsidP="000C2AE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13.200</w:t>
            </w:r>
          </w:p>
        </w:tc>
      </w:tr>
    </w:tbl>
    <w:p w:rsidR="00EF3974" w:rsidRPr="009D196F" w:rsidRDefault="00EF3974" w:rsidP="00EF3974">
      <w:pPr>
        <w:spacing w:before="120" w:after="120" w:line="400" w:lineRule="exact"/>
        <w:ind w:firstLine="709"/>
        <w:jc w:val="both"/>
        <w:rPr>
          <w:rFonts w:eastAsia="Times New Roman" w:cs="Times New Roman"/>
          <w:spacing w:val="-4"/>
          <w:szCs w:val="28"/>
        </w:rPr>
      </w:pPr>
      <w:r w:rsidRPr="009D196F">
        <w:rPr>
          <w:rFonts w:cs="Times New Roman"/>
          <w:bCs/>
          <w:szCs w:val="28"/>
        </w:rPr>
        <w:t xml:space="preserve"> + </w:t>
      </w:r>
      <w:r w:rsidRPr="009D196F">
        <w:rPr>
          <w:rFonts w:eastAsia="Times New Roman" w:cs="Times New Roman"/>
          <w:spacing w:val="-4"/>
          <w:szCs w:val="28"/>
        </w:rPr>
        <w:t>Khung giá cho thuê nhà ở công vụ trên địa bàn tỉnh Lai Châu cụ thể như sau:</w:t>
      </w:r>
    </w:p>
    <w:tbl>
      <w:tblPr>
        <w:tblW w:w="90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1"/>
        <w:gridCol w:w="3034"/>
        <w:gridCol w:w="2767"/>
        <w:gridCol w:w="2462"/>
      </w:tblGrid>
      <w:tr w:rsidR="00EF3974" w:rsidRPr="009D196F" w:rsidTr="000C2AE3">
        <w:trPr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9D196F">
              <w:rPr>
                <w:rFonts w:cs="Times New Roman"/>
                <w:b/>
                <w:color w:val="000000"/>
                <w:szCs w:val="28"/>
              </w:rPr>
              <w:t>STT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9D196F">
              <w:rPr>
                <w:rFonts w:cs="Times New Roman"/>
                <w:b/>
                <w:color w:val="000000"/>
                <w:szCs w:val="28"/>
              </w:rPr>
              <w:t xml:space="preserve">Nội dung 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9D196F">
              <w:rPr>
                <w:rFonts w:cs="Times New Roman"/>
                <w:b/>
                <w:color w:val="000000"/>
                <w:szCs w:val="28"/>
              </w:rPr>
              <w:t>Khung giá tối thiểu (</w:t>
            </w:r>
            <w:r w:rsidRPr="009D196F">
              <w:rPr>
                <w:rFonts w:cs="Times New Roman"/>
                <w:b/>
                <w:color w:val="000000"/>
                <w:szCs w:val="28"/>
                <w:u w:color="FF0000"/>
              </w:rPr>
              <w:t>đồng/m</w:t>
            </w:r>
            <w:r w:rsidRPr="009D196F">
              <w:rPr>
                <w:rFonts w:cs="Times New Roman"/>
                <w:b/>
                <w:color w:val="000000"/>
                <w:szCs w:val="28"/>
                <w:u w:color="FF0000"/>
                <w:vertAlign w:val="superscript"/>
              </w:rPr>
              <w:t>2</w:t>
            </w:r>
            <w:r w:rsidRPr="009D196F">
              <w:rPr>
                <w:rFonts w:cs="Times New Roman"/>
                <w:b/>
                <w:color w:val="000000"/>
                <w:szCs w:val="28"/>
                <w:u w:color="FF0000"/>
              </w:rPr>
              <w:t>/tháng</w:t>
            </w:r>
            <w:r w:rsidRPr="009D196F">
              <w:rPr>
                <w:rFonts w:cs="Times New Roman"/>
                <w:b/>
                <w:color w:val="000000"/>
                <w:szCs w:val="28"/>
              </w:rPr>
              <w:t>)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9D196F">
              <w:rPr>
                <w:rFonts w:cs="Times New Roman"/>
                <w:b/>
                <w:color w:val="000000"/>
                <w:szCs w:val="28"/>
              </w:rPr>
              <w:t xml:space="preserve">Khung giá tối đa </w:t>
            </w:r>
          </w:p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9D196F">
              <w:rPr>
                <w:rFonts w:cs="Times New Roman"/>
                <w:b/>
                <w:color w:val="000000"/>
                <w:szCs w:val="28"/>
              </w:rPr>
              <w:t>(</w:t>
            </w:r>
            <w:r w:rsidRPr="009D196F">
              <w:rPr>
                <w:rFonts w:cs="Times New Roman"/>
                <w:b/>
                <w:color w:val="000000"/>
                <w:szCs w:val="28"/>
                <w:u w:color="FF0000"/>
              </w:rPr>
              <w:t>đồng/m</w:t>
            </w:r>
            <w:r w:rsidRPr="009D196F">
              <w:rPr>
                <w:rFonts w:cs="Times New Roman"/>
                <w:b/>
                <w:color w:val="000000"/>
                <w:szCs w:val="28"/>
                <w:u w:color="FF0000"/>
                <w:vertAlign w:val="superscript"/>
              </w:rPr>
              <w:t>2</w:t>
            </w:r>
            <w:r w:rsidRPr="009D196F">
              <w:rPr>
                <w:rFonts w:cs="Times New Roman"/>
                <w:b/>
                <w:color w:val="000000"/>
                <w:szCs w:val="28"/>
                <w:u w:color="FF0000"/>
              </w:rPr>
              <w:t>/tháng</w:t>
            </w:r>
            <w:r w:rsidRPr="009D196F">
              <w:rPr>
                <w:rFonts w:cs="Times New Roman"/>
                <w:b/>
                <w:color w:val="000000"/>
                <w:szCs w:val="28"/>
              </w:rPr>
              <w:t>)</w:t>
            </w:r>
          </w:p>
        </w:tc>
      </w:tr>
      <w:tr w:rsidR="00EF3974" w:rsidRPr="009D196F" w:rsidTr="000C2AE3">
        <w:trPr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3034" w:type="dxa"/>
            <w:shd w:val="clear" w:color="auto" w:fill="auto"/>
          </w:tcPr>
          <w:p w:rsidR="00EF3974" w:rsidRPr="009D196F" w:rsidRDefault="00EF3974" w:rsidP="000C2AE3">
            <w:pPr>
              <w:spacing w:before="120" w:after="120"/>
              <w:jc w:val="both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szCs w:val="28"/>
              </w:rPr>
              <w:t xml:space="preserve">Nhà ở công vụ 1 tầng, kết cấu </w:t>
            </w:r>
            <w:r w:rsidRPr="009D196F">
              <w:rPr>
                <w:rFonts w:cs="Times New Roman"/>
                <w:color w:val="000000"/>
                <w:szCs w:val="28"/>
                <w:u w:color="FF0000"/>
              </w:rPr>
              <w:t>tường gạch chịu lực</w:t>
            </w:r>
            <w:r w:rsidRPr="009D196F">
              <w:rPr>
                <w:rFonts w:cs="Times New Roman"/>
                <w:szCs w:val="28"/>
              </w:rPr>
              <w:t>, mái lợp tôn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EF3974" w:rsidRPr="009D196F" w:rsidRDefault="00EF3974" w:rsidP="000C2AE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5.700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EF3974" w:rsidRPr="009D196F" w:rsidRDefault="00EF3974" w:rsidP="000C2AE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8.6000</w:t>
            </w:r>
          </w:p>
        </w:tc>
      </w:tr>
      <w:tr w:rsidR="00EF3974" w:rsidRPr="009D196F" w:rsidTr="000C2AE3">
        <w:trPr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3034" w:type="dxa"/>
            <w:shd w:val="clear" w:color="auto" w:fill="auto"/>
          </w:tcPr>
          <w:p w:rsidR="00EF3974" w:rsidRPr="009D196F" w:rsidRDefault="00EF3974" w:rsidP="000C2AE3">
            <w:pPr>
              <w:spacing w:before="120" w:after="120"/>
              <w:jc w:val="both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szCs w:val="28"/>
              </w:rPr>
              <w:t xml:space="preserve">Nhà ở công vụ 1 tầng  kết cấu khung, mái BTCT, </w:t>
            </w:r>
            <w:r w:rsidRPr="009D196F">
              <w:rPr>
                <w:rFonts w:cs="Times New Roman"/>
                <w:color w:val="000000"/>
                <w:szCs w:val="28"/>
                <w:u w:color="FF0000"/>
              </w:rPr>
              <w:t>tường xây gạch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EF3974" w:rsidRPr="009D196F" w:rsidRDefault="00EF3974" w:rsidP="000C2AE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6.000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EF3974" w:rsidRPr="009D196F" w:rsidRDefault="00EF3974" w:rsidP="000C2AE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8.900</w:t>
            </w:r>
          </w:p>
        </w:tc>
      </w:tr>
      <w:tr w:rsidR="00EF3974" w:rsidRPr="009D196F" w:rsidTr="000C2AE3">
        <w:trPr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3974" w:rsidRPr="009D196F" w:rsidRDefault="00EF3974" w:rsidP="000C2AE3">
            <w:pPr>
              <w:spacing w:before="120" w:after="120"/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3034" w:type="dxa"/>
            <w:shd w:val="clear" w:color="auto" w:fill="auto"/>
          </w:tcPr>
          <w:p w:rsidR="00EF3974" w:rsidRPr="009D196F" w:rsidRDefault="00EF3974" w:rsidP="000C2AE3">
            <w:pPr>
              <w:spacing w:before="120" w:after="120"/>
              <w:jc w:val="both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szCs w:val="28"/>
              </w:rPr>
              <w:t xml:space="preserve">Nhà ở công vụ từ 02-05 tầng, kết cấu khung, mái BTCT, </w:t>
            </w:r>
            <w:r w:rsidRPr="009D196F">
              <w:rPr>
                <w:rFonts w:cs="Times New Roman"/>
                <w:color w:val="000000"/>
                <w:szCs w:val="28"/>
                <w:u w:color="FF0000"/>
              </w:rPr>
              <w:t>tường xây gạch</w:t>
            </w:r>
            <w:r w:rsidRPr="009D196F">
              <w:rPr>
                <w:rFonts w:cs="Times New Roman"/>
                <w:szCs w:val="28"/>
              </w:rPr>
              <w:t>.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EF3974" w:rsidRPr="009D196F" w:rsidRDefault="00EF3974" w:rsidP="000C2AE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13.700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EF3974" w:rsidRPr="009D196F" w:rsidRDefault="00EF3974" w:rsidP="000C2AE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9D196F">
              <w:rPr>
                <w:rFonts w:cs="Times New Roman"/>
                <w:color w:val="000000"/>
                <w:szCs w:val="28"/>
              </w:rPr>
              <w:t>15.300</w:t>
            </w:r>
          </w:p>
        </w:tc>
      </w:tr>
    </w:tbl>
    <w:p w:rsidR="00EF3974" w:rsidRPr="009D196F" w:rsidRDefault="00EF3974" w:rsidP="00EF3974">
      <w:pPr>
        <w:spacing w:before="120" w:after="120" w:line="360" w:lineRule="exact"/>
        <w:ind w:firstLine="709"/>
        <w:jc w:val="both"/>
        <w:rPr>
          <w:rFonts w:eastAsia="Times New Roman" w:cs="Times New Roman"/>
          <w:szCs w:val="28"/>
          <w:lang w:val="vi-VN" w:eastAsia="vi-VN"/>
        </w:rPr>
      </w:pPr>
      <w:r w:rsidRPr="009D196F">
        <w:rPr>
          <w:rFonts w:cs="Times New Roman"/>
          <w:szCs w:val="28"/>
          <w:lang w:val="nl-NL"/>
        </w:rPr>
        <w:t xml:space="preserve">- Quy định về trách nhiệm tổ chức thực hiện: trên cơ sở chức năng </w:t>
      </w:r>
      <w:r w:rsidRPr="009D196F">
        <w:rPr>
          <w:rFonts w:cs="Times New Roman"/>
          <w:color w:val="000000"/>
          <w:szCs w:val="28"/>
          <w:u w:color="FF0000"/>
          <w:lang w:val="nl-NL"/>
        </w:rPr>
        <w:t>nhiện</w:t>
      </w:r>
      <w:r w:rsidRPr="009D196F">
        <w:rPr>
          <w:rFonts w:cs="Times New Roman"/>
          <w:szCs w:val="28"/>
          <w:lang w:val="nl-NL"/>
        </w:rPr>
        <w:t xml:space="preserve"> vụ của các cơ quan, đơn vị, địa phương, dự thảo đã quy định rõ việc triển khai quản lý, vận hành, sử dụng nhà ở công vụ trên địa bàn tỉnh trong đó có quy định về xử lý chuyển tiếp với từng trường hợp cụ thể theo quy định của Luật Nhà ở năm 2023.</w:t>
      </w:r>
    </w:p>
    <w:p w:rsidR="00EF3974" w:rsidRPr="009D196F" w:rsidRDefault="00EF3974" w:rsidP="00895E13">
      <w:pPr>
        <w:spacing w:before="120" w:after="120" w:line="380" w:lineRule="exact"/>
        <w:ind w:firstLine="709"/>
        <w:jc w:val="both"/>
        <w:rPr>
          <w:rFonts w:cs="Times New Roman"/>
          <w:szCs w:val="28"/>
        </w:rPr>
      </w:pPr>
    </w:p>
    <w:sectPr w:rsidR="00EF3974" w:rsidRPr="009D196F" w:rsidSect="00E82C92">
      <w:pgSz w:w="11909" w:h="16834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C5FE4"/>
    <w:multiLevelType w:val="hybridMultilevel"/>
    <w:tmpl w:val="64C08FEC"/>
    <w:lvl w:ilvl="0" w:tplc="8DAA4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13"/>
    <w:rsid w:val="004721F7"/>
    <w:rsid w:val="006474D7"/>
    <w:rsid w:val="00895E13"/>
    <w:rsid w:val="009D196F"/>
    <w:rsid w:val="00E82C92"/>
    <w:rsid w:val="00EF3974"/>
    <w:rsid w:val="00F6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0E34B8-8EAB-4586-9B5A-231D6F1B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E13"/>
    <w:pPr>
      <w:ind w:left="720"/>
      <w:contextualSpacing/>
    </w:pPr>
  </w:style>
  <w:style w:type="character" w:customStyle="1" w:styleId="Vnbnnidung">
    <w:name w:val="Văn bản nội dung_"/>
    <w:link w:val="Vnbnnidung0"/>
    <w:locked/>
    <w:rsid w:val="00895E13"/>
  </w:style>
  <w:style w:type="paragraph" w:customStyle="1" w:styleId="Vnbnnidung0">
    <w:name w:val="Văn bản nội dung"/>
    <w:basedOn w:val="Normal"/>
    <w:link w:val="Vnbnnidung"/>
    <w:rsid w:val="00895E13"/>
    <w:pPr>
      <w:widowControl w:val="0"/>
      <w:spacing w:after="200" w:line="264" w:lineRule="auto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2025-04-28T08:43:00Z</dcterms:created>
  <dcterms:modified xsi:type="dcterms:W3CDTF">2025-04-28T09:09:00Z</dcterms:modified>
</cp:coreProperties>
</file>