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CellMar>
          <w:left w:w="0" w:type="dxa"/>
          <w:right w:w="0" w:type="dxa"/>
        </w:tblCellMar>
        <w:tblLook w:val="04A0" w:firstRow="1" w:lastRow="0" w:firstColumn="1" w:lastColumn="0" w:noHBand="0" w:noVBand="1"/>
      </w:tblPr>
      <w:tblGrid>
        <w:gridCol w:w="3147"/>
        <w:gridCol w:w="5816"/>
      </w:tblGrid>
      <w:tr w:rsidR="005D16AC" w:rsidRPr="005D16AC" w14:paraId="085368DF" w14:textId="77777777" w:rsidTr="002F73B5">
        <w:trPr>
          <w:trHeight w:val="841"/>
        </w:trPr>
        <w:tc>
          <w:tcPr>
            <w:tcW w:w="3181" w:type="dxa"/>
            <w:tcMar>
              <w:top w:w="0" w:type="dxa"/>
              <w:left w:w="108" w:type="dxa"/>
              <w:bottom w:w="0" w:type="dxa"/>
              <w:right w:w="108" w:type="dxa"/>
            </w:tcMar>
            <w:hideMark/>
          </w:tcPr>
          <w:p w14:paraId="5788648D" w14:textId="64FFCF04" w:rsidR="00D41700" w:rsidRPr="007018DC" w:rsidRDefault="00D91C02" w:rsidP="007E3486">
            <w:pPr>
              <w:suppressAutoHyphens w:val="0"/>
              <w:spacing w:before="120" w:after="100" w:afterAutospacing="1"/>
              <w:jc w:val="center"/>
              <w:rPr>
                <w:rFonts w:cs="Times New Roman"/>
                <w:b/>
                <w:bCs w:val="0"/>
                <w:iCs w:val="0"/>
                <w:sz w:val="26"/>
                <w:szCs w:val="26"/>
                <w:lang w:eastAsia="en-US"/>
              </w:rPr>
            </w:pPr>
            <w:r w:rsidRPr="007018DC">
              <w:rPr>
                <w:rFonts w:cs="Times New Roman"/>
                <w:b/>
                <w:iCs w:val="0"/>
                <w:noProof/>
                <w:sz w:val="26"/>
                <w:szCs w:val="26"/>
                <w:lang w:eastAsia="en-US"/>
              </w:rPr>
              <mc:AlternateContent>
                <mc:Choice Requires="wps">
                  <w:drawing>
                    <wp:anchor distT="0" distB="0" distL="114300" distR="114300" simplePos="0" relativeHeight="251656704" behindDoc="0" locked="0" layoutInCell="1" allowOverlap="1" wp14:anchorId="778EE199" wp14:editId="686FB749">
                      <wp:simplePos x="0" y="0"/>
                      <wp:positionH relativeFrom="column">
                        <wp:posOffset>597535</wp:posOffset>
                      </wp:positionH>
                      <wp:positionV relativeFrom="paragraph">
                        <wp:posOffset>496570</wp:posOffset>
                      </wp:positionV>
                      <wp:extent cx="591185" cy="0"/>
                      <wp:effectExtent l="12700" t="6985" r="5715" b="1206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FFA5CB" id="_x0000_t32" coordsize="21600,21600" o:spt="32" o:oned="t" path="m,l21600,21600e" filled="f">
                      <v:path arrowok="t" fillok="f" o:connecttype="none"/>
                      <o:lock v:ext="edit" shapetype="t"/>
                    </v:shapetype>
                    <v:shape id="AutoShape 4" o:spid="_x0000_s1026" type="#_x0000_t32" style="position:absolute;margin-left:47.05pt;margin-top:39.1pt;width:46.5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HQIAADo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"/>
                  </w:pict>
                </mc:Fallback>
              </mc:AlternateContent>
            </w:r>
            <w:r w:rsidR="007E3486">
              <w:rPr>
                <w:rFonts w:cs="Times New Roman"/>
                <w:b/>
                <w:iCs w:val="0"/>
                <w:sz w:val="26"/>
                <w:szCs w:val="26"/>
                <w:lang w:eastAsia="en-US"/>
              </w:rPr>
              <w:t>UBND TỈNH LAI CHÂU</w:t>
            </w:r>
            <w:r w:rsidR="00D41700" w:rsidRPr="007018DC">
              <w:rPr>
                <w:rFonts w:cs="Times New Roman"/>
                <w:b/>
                <w:iCs w:val="0"/>
                <w:sz w:val="26"/>
                <w:szCs w:val="26"/>
                <w:lang w:eastAsia="en-US"/>
              </w:rPr>
              <w:br/>
            </w:r>
            <w:r w:rsidR="007E3486">
              <w:rPr>
                <w:rFonts w:cs="Times New Roman"/>
                <w:b/>
                <w:bCs w:val="0"/>
                <w:iCs w:val="0"/>
                <w:sz w:val="26"/>
                <w:szCs w:val="26"/>
                <w:lang w:eastAsia="en-US"/>
              </w:rPr>
              <w:t>SỞ XÂY DỰNG</w:t>
            </w:r>
          </w:p>
        </w:tc>
        <w:tc>
          <w:tcPr>
            <w:tcW w:w="5891" w:type="dxa"/>
            <w:tcMar>
              <w:top w:w="0" w:type="dxa"/>
              <w:left w:w="108" w:type="dxa"/>
              <w:bottom w:w="0" w:type="dxa"/>
              <w:right w:w="108" w:type="dxa"/>
            </w:tcMar>
            <w:hideMark/>
          </w:tcPr>
          <w:p w14:paraId="268646B6" w14:textId="7BE46000" w:rsidR="00D41700" w:rsidRPr="005D16AC" w:rsidRDefault="00D91C02" w:rsidP="00D41700">
            <w:pPr>
              <w:suppressAutoHyphens w:val="0"/>
              <w:spacing w:before="120" w:after="100" w:afterAutospacing="1"/>
              <w:jc w:val="center"/>
              <w:rPr>
                <w:rFonts w:cs="Times New Roman"/>
                <w:bCs w:val="0"/>
                <w:iCs w:val="0"/>
                <w:sz w:val="24"/>
                <w:lang w:eastAsia="en-US"/>
              </w:rPr>
            </w:pPr>
            <w:r>
              <w:rPr>
                <w:rFonts w:cs="Times New Roman"/>
                <w:b/>
                <w:iCs w:val="0"/>
                <w:noProof/>
                <w:sz w:val="26"/>
                <w:szCs w:val="26"/>
                <w:lang w:eastAsia="en-US"/>
              </w:rPr>
              <mc:AlternateContent>
                <mc:Choice Requires="wps">
                  <w:drawing>
                    <wp:anchor distT="0" distB="0" distL="114300" distR="114300" simplePos="0" relativeHeight="251657728" behindDoc="0" locked="0" layoutInCell="1" allowOverlap="1" wp14:anchorId="3F719129" wp14:editId="11BF8880">
                      <wp:simplePos x="0" y="0"/>
                      <wp:positionH relativeFrom="column">
                        <wp:posOffset>729615</wp:posOffset>
                      </wp:positionH>
                      <wp:positionV relativeFrom="paragraph">
                        <wp:posOffset>502920</wp:posOffset>
                      </wp:positionV>
                      <wp:extent cx="2133600" cy="0"/>
                      <wp:effectExtent l="12065" t="13335" r="6985" b="571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5879A5" id="AutoShape 5" o:spid="_x0000_s1026" type="#_x0000_t32" style="position:absolute;margin-left:57.45pt;margin-top:39.6pt;width:16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VpDHg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"/>
                  </w:pict>
                </mc:Fallback>
              </mc:AlternateContent>
            </w:r>
            <w:r w:rsidR="00D41700" w:rsidRPr="005D16AC">
              <w:rPr>
                <w:rFonts w:cs="Times New Roman"/>
                <w:b/>
                <w:iCs w:val="0"/>
                <w:sz w:val="26"/>
                <w:szCs w:val="26"/>
                <w:lang w:val="vi-VN" w:eastAsia="en-US"/>
              </w:rPr>
              <w:t>CỘNG HÒA XÃ HỘI CHỦ NGHĨA VIỆT NAM</w:t>
            </w:r>
            <w:r w:rsidR="00D41700" w:rsidRPr="005D16AC">
              <w:rPr>
                <w:rFonts w:cs="Times New Roman"/>
                <w:b/>
                <w:iCs w:val="0"/>
                <w:sz w:val="26"/>
                <w:szCs w:val="26"/>
                <w:lang w:val="vi-VN" w:eastAsia="en-US"/>
              </w:rPr>
              <w:br/>
            </w:r>
            <w:r w:rsidR="00D41700" w:rsidRPr="005D16AC">
              <w:rPr>
                <w:rFonts w:cs="Times New Roman"/>
                <w:b/>
                <w:iCs w:val="0"/>
                <w:szCs w:val="28"/>
                <w:lang w:val="vi-VN" w:eastAsia="en-US"/>
              </w:rPr>
              <w:t xml:space="preserve">Độc lập - Tự do - Hạnh phúc </w:t>
            </w:r>
          </w:p>
        </w:tc>
      </w:tr>
      <w:tr w:rsidR="00D41700" w:rsidRPr="005D16AC" w14:paraId="63165504" w14:textId="77777777" w:rsidTr="002F73B5">
        <w:trPr>
          <w:trHeight w:val="412"/>
        </w:trPr>
        <w:tc>
          <w:tcPr>
            <w:tcW w:w="3181" w:type="dxa"/>
            <w:tcMar>
              <w:top w:w="0" w:type="dxa"/>
              <w:left w:w="108" w:type="dxa"/>
              <w:bottom w:w="0" w:type="dxa"/>
              <w:right w:w="108" w:type="dxa"/>
            </w:tcMar>
            <w:hideMark/>
          </w:tcPr>
          <w:p w14:paraId="02EAE1B2" w14:textId="2C06CD17" w:rsidR="00D41700" w:rsidRPr="005D16AC" w:rsidRDefault="00D41700" w:rsidP="00D41700">
            <w:pPr>
              <w:suppressAutoHyphens w:val="0"/>
              <w:jc w:val="center"/>
              <w:rPr>
                <w:rFonts w:cs="Times New Roman"/>
                <w:bCs w:val="0"/>
                <w:iCs w:val="0"/>
                <w:sz w:val="24"/>
                <w:lang w:eastAsia="en-US"/>
              </w:rPr>
            </w:pPr>
          </w:p>
        </w:tc>
        <w:tc>
          <w:tcPr>
            <w:tcW w:w="5891" w:type="dxa"/>
            <w:tcMar>
              <w:top w:w="0" w:type="dxa"/>
              <w:left w:w="108" w:type="dxa"/>
              <w:bottom w:w="0" w:type="dxa"/>
              <w:right w:w="108" w:type="dxa"/>
            </w:tcMar>
            <w:hideMark/>
          </w:tcPr>
          <w:p w14:paraId="07E1235D" w14:textId="70648C04" w:rsidR="00D41700" w:rsidRPr="005D16AC" w:rsidRDefault="00D41700" w:rsidP="007E3486">
            <w:pPr>
              <w:suppressAutoHyphens w:val="0"/>
              <w:jc w:val="center"/>
              <w:rPr>
                <w:rFonts w:cs="Times New Roman"/>
                <w:bCs w:val="0"/>
                <w:iCs w:val="0"/>
                <w:szCs w:val="28"/>
                <w:lang w:eastAsia="en-US"/>
              </w:rPr>
            </w:pPr>
            <w:r w:rsidRPr="005D16AC">
              <w:rPr>
                <w:rFonts w:cs="Times New Roman"/>
                <w:bCs w:val="0"/>
                <w:i/>
                <w:szCs w:val="28"/>
                <w:lang w:eastAsia="en-US"/>
              </w:rPr>
              <w:t>Lai Châu</w:t>
            </w:r>
            <w:r w:rsidRPr="005D16AC">
              <w:rPr>
                <w:rFonts w:cs="Times New Roman"/>
                <w:bCs w:val="0"/>
                <w:i/>
                <w:szCs w:val="28"/>
                <w:lang w:val="vi-VN" w:eastAsia="en-US"/>
              </w:rPr>
              <w:t xml:space="preserve">, ngày </w:t>
            </w:r>
            <w:r w:rsidR="007E3486">
              <w:rPr>
                <w:rFonts w:cs="Times New Roman"/>
                <w:bCs w:val="0"/>
                <w:i/>
                <w:szCs w:val="28"/>
                <w:lang w:eastAsia="en-US"/>
              </w:rPr>
              <w:t>12</w:t>
            </w:r>
            <w:r w:rsidRPr="005D16AC">
              <w:rPr>
                <w:rFonts w:cs="Times New Roman"/>
                <w:bCs w:val="0"/>
                <w:i/>
                <w:szCs w:val="28"/>
                <w:lang w:val="vi-VN" w:eastAsia="en-US"/>
              </w:rPr>
              <w:t xml:space="preserve"> tháng </w:t>
            </w:r>
            <w:r w:rsidR="007E3486">
              <w:rPr>
                <w:rFonts w:cs="Times New Roman"/>
                <w:bCs w:val="0"/>
                <w:i/>
                <w:szCs w:val="28"/>
                <w:lang w:eastAsia="en-US"/>
              </w:rPr>
              <w:t>7</w:t>
            </w:r>
            <w:r w:rsidRPr="005D16AC">
              <w:rPr>
                <w:rFonts w:cs="Times New Roman"/>
                <w:bCs w:val="0"/>
                <w:i/>
                <w:szCs w:val="28"/>
                <w:lang w:eastAsia="en-US"/>
              </w:rPr>
              <w:t xml:space="preserve"> </w:t>
            </w:r>
            <w:r w:rsidRPr="005D16AC">
              <w:rPr>
                <w:rFonts w:cs="Times New Roman"/>
                <w:bCs w:val="0"/>
                <w:i/>
                <w:szCs w:val="28"/>
                <w:lang w:val="vi-VN" w:eastAsia="en-US"/>
              </w:rPr>
              <w:t xml:space="preserve">năm </w:t>
            </w:r>
            <w:r w:rsidR="007018DC">
              <w:rPr>
                <w:rFonts w:cs="Times New Roman"/>
                <w:bCs w:val="0"/>
                <w:i/>
                <w:szCs w:val="28"/>
                <w:lang w:eastAsia="en-US"/>
              </w:rPr>
              <w:t>2026</w:t>
            </w:r>
          </w:p>
        </w:tc>
      </w:tr>
    </w:tbl>
    <w:p w14:paraId="6AC86E0E" w14:textId="77777777" w:rsidR="00D41700" w:rsidRPr="005D16AC" w:rsidRDefault="00D41700">
      <w:pPr>
        <w:jc w:val="center"/>
        <w:rPr>
          <w:b/>
        </w:rPr>
      </w:pPr>
    </w:p>
    <w:p w14:paraId="26330A6B" w14:textId="77777777" w:rsidR="00131050" w:rsidRPr="005D16AC" w:rsidRDefault="009949F8">
      <w:pPr>
        <w:jc w:val="center"/>
      </w:pPr>
      <w:r w:rsidRPr="005D16AC">
        <w:rPr>
          <w:b/>
        </w:rPr>
        <w:t>BẢN ĐÁNH GIÁ</w:t>
      </w:r>
    </w:p>
    <w:p w14:paraId="0F23841D" w14:textId="77777777" w:rsidR="00B62B3D" w:rsidRPr="005D16AC" w:rsidRDefault="009949F8" w:rsidP="00E51274">
      <w:pPr>
        <w:jc w:val="center"/>
        <w:rPr>
          <w:b/>
          <w:szCs w:val="28"/>
        </w:rPr>
      </w:pPr>
      <w:r w:rsidRPr="005D16AC">
        <w:rPr>
          <w:b/>
          <w:szCs w:val="28"/>
        </w:rPr>
        <w:t>Thủ tục hành chính, việc phân quyền, phân cấp, việc ứng dụng, thúc đẩy</w:t>
      </w:r>
    </w:p>
    <w:p w14:paraId="60900CD2" w14:textId="756A24D9" w:rsidR="00B62B3D" w:rsidRPr="005D16AC" w:rsidRDefault="009949F8" w:rsidP="00E51274">
      <w:pPr>
        <w:jc w:val="center"/>
        <w:rPr>
          <w:b/>
          <w:szCs w:val="28"/>
        </w:rPr>
      </w:pPr>
      <w:r w:rsidRPr="005D16AC">
        <w:rPr>
          <w:b/>
          <w:szCs w:val="28"/>
        </w:rPr>
        <w:t xml:space="preserve">phát triển khoa học, công nghệ, đổi mới sáng tạo và chuyển đổi số, bảo đảm bình đẳng giới, việc thực hiện chính sách dân tộc trong dự thảo </w:t>
      </w:r>
      <w:r w:rsidR="007018DC">
        <w:rPr>
          <w:b/>
          <w:szCs w:val="28"/>
        </w:rPr>
        <w:t>Nghị quyết</w:t>
      </w:r>
    </w:p>
    <w:p w14:paraId="3BC9E86E" w14:textId="77777777" w:rsidR="007018DC" w:rsidRPr="00B30AB1" w:rsidRDefault="007018DC" w:rsidP="007018DC">
      <w:pPr>
        <w:jc w:val="center"/>
        <w:rPr>
          <w:rFonts w:cs="Times New Roman"/>
          <w:szCs w:val="28"/>
        </w:rPr>
      </w:pPr>
      <w:r w:rsidRPr="00B30AB1">
        <w:rPr>
          <w:rFonts w:cs="Times New Roman"/>
          <w:b/>
          <w:szCs w:val="28"/>
        </w:rPr>
        <w:t>Phân cấp cho Ủy ban nhân dân tỉnh thực hiện nhiệm vụ ban hành kế hoạch chuyển đổi, loại bỏ phương tiện giao thông sử dụng nhiên liệu hóa thạch, phương tiện giao thông gây ô nhiễm môi trường</w:t>
      </w:r>
    </w:p>
    <w:p w14:paraId="260A6518" w14:textId="0CA98DC4" w:rsidR="007018DC" w:rsidRDefault="007018DC" w:rsidP="007018DC">
      <w:pPr>
        <w:jc w:val="center"/>
        <w:rPr>
          <w:rFonts w:cs="Times New Roman"/>
          <w:szCs w:val="28"/>
        </w:rPr>
      </w:pPr>
      <w:r>
        <w:rPr>
          <w:rFonts w:cs="Times New Roman"/>
          <w:noProof/>
          <w:szCs w:val="28"/>
          <w:lang w:eastAsia="en-US"/>
        </w:rPr>
        <mc:AlternateContent>
          <mc:Choice Requires="wps">
            <w:drawing>
              <wp:anchor distT="0" distB="0" distL="114300" distR="114300" simplePos="0" relativeHeight="251658752" behindDoc="0" locked="0" layoutInCell="1" allowOverlap="1" wp14:anchorId="02DA9F00" wp14:editId="7A730DCD">
                <wp:simplePos x="0" y="0"/>
                <wp:positionH relativeFrom="column">
                  <wp:posOffset>2040255</wp:posOffset>
                </wp:positionH>
                <wp:positionV relativeFrom="paragraph">
                  <wp:posOffset>23495</wp:posOffset>
                </wp:positionV>
                <wp:extent cx="1687195" cy="0"/>
                <wp:effectExtent l="12065" t="13335" r="5715" b="571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7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AA99B" id="AutoShape 6" o:spid="_x0000_s1026" type="#_x0000_t32" style="position:absolute;margin-left:160.65pt;margin-top:1.85pt;width:132.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c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zGbzh2wx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"/>
            </w:pict>
          </mc:Fallback>
        </mc:AlternateContent>
      </w:r>
    </w:p>
    <w:p w14:paraId="1D35623F" w14:textId="2EBC7491" w:rsidR="00131050" w:rsidRPr="002D0602" w:rsidRDefault="009949F8" w:rsidP="002D0602">
      <w:pPr>
        <w:spacing w:before="60" w:after="60" w:line="320" w:lineRule="exact"/>
        <w:ind w:firstLine="720"/>
        <w:jc w:val="both"/>
        <w:rPr>
          <w:rFonts w:cs="Times New Roman"/>
          <w:szCs w:val="28"/>
        </w:rPr>
      </w:pPr>
      <w:r w:rsidRPr="002D0602">
        <w:rPr>
          <w:rFonts w:cs="Times New Roman"/>
          <w:szCs w:val="28"/>
        </w:rPr>
        <w:t xml:space="preserve">Thực hiện quy định của Luật Ban hành văn bản quy phạm pháp luật, Sở Xây dựng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thảo </w:t>
      </w:r>
      <w:r w:rsidR="007018DC" w:rsidRPr="002D0602">
        <w:rPr>
          <w:rFonts w:cs="Times New Roman"/>
          <w:szCs w:val="28"/>
        </w:rPr>
        <w:t>Nghị q</w:t>
      </w:r>
      <w:r w:rsidRPr="002D0602">
        <w:rPr>
          <w:rFonts w:cs="Times New Roman"/>
          <w:szCs w:val="28"/>
        </w:rPr>
        <w:t xml:space="preserve">uyết </w:t>
      </w:r>
      <w:r w:rsidR="007018DC" w:rsidRPr="002D0602">
        <w:rPr>
          <w:rFonts w:cs="Times New Roman"/>
          <w:szCs w:val="28"/>
        </w:rPr>
        <w:t>phân cấp cho Ủy ban nhân dân tỉnh thực hiện nhiệm vụ ban hành kế hoạch chuyển đổi, loại bỏ phương tiện giao thông sử dụng nhiên liệu hóa thạch, phương tiện giao thông gây ô nhiễm môi trường</w:t>
      </w:r>
      <w:r w:rsidRPr="002D0602">
        <w:rPr>
          <w:rFonts w:cs="Times New Roman"/>
          <w:szCs w:val="28"/>
        </w:rPr>
        <w:t>. Kết quả như sau:</w:t>
      </w:r>
    </w:p>
    <w:p w14:paraId="2406DCC9" w14:textId="77777777" w:rsidR="00131050" w:rsidRPr="002D0602" w:rsidRDefault="009949F8" w:rsidP="002D0602">
      <w:pPr>
        <w:keepNext/>
        <w:widowControl w:val="0"/>
        <w:spacing w:before="60" w:after="60" w:line="320" w:lineRule="exact"/>
        <w:ind w:firstLine="720"/>
        <w:jc w:val="both"/>
        <w:rPr>
          <w:rFonts w:cs="Times New Roman"/>
          <w:szCs w:val="28"/>
        </w:rPr>
      </w:pPr>
      <w:r w:rsidRPr="002D0602">
        <w:rPr>
          <w:rFonts w:cs="Times New Roman"/>
          <w:b/>
          <w:szCs w:val="28"/>
        </w:rPr>
        <w:t>I. TỔ CHỨC THỰC HIỆN ĐÁNH GIÁ</w:t>
      </w:r>
    </w:p>
    <w:p w14:paraId="3650D2F4" w14:textId="3E63FD10" w:rsidR="00131050" w:rsidRPr="002D0602" w:rsidRDefault="009949F8" w:rsidP="002D0602">
      <w:pPr>
        <w:keepNext/>
        <w:widowControl w:val="0"/>
        <w:spacing w:before="60" w:after="60" w:line="320" w:lineRule="exact"/>
        <w:ind w:firstLine="720"/>
        <w:jc w:val="both"/>
        <w:rPr>
          <w:rFonts w:cs="Times New Roman"/>
          <w:b/>
          <w:szCs w:val="28"/>
        </w:rPr>
      </w:pPr>
      <w:r w:rsidRPr="002D0602">
        <w:rPr>
          <w:rFonts w:cs="Times New Roman"/>
          <w:b/>
          <w:szCs w:val="28"/>
        </w:rPr>
        <w:t>1. Bối cảnh xây dựng dự thảo văn bản quy phạm pháp luật</w:t>
      </w:r>
    </w:p>
    <w:p w14:paraId="75164953" w14:textId="3261C626" w:rsidR="007018DC" w:rsidRPr="007018DC" w:rsidRDefault="007018DC" w:rsidP="002D0602">
      <w:pPr>
        <w:suppressAutoHyphens w:val="0"/>
        <w:spacing w:before="60" w:after="60" w:line="320" w:lineRule="exact"/>
        <w:ind w:firstLine="720"/>
        <w:jc w:val="both"/>
        <w:rPr>
          <w:rFonts w:cs="Times New Roman"/>
          <w:bCs w:val="0"/>
          <w:iCs w:val="0"/>
          <w:szCs w:val="28"/>
          <w:lang w:eastAsia="en-US"/>
        </w:rPr>
      </w:pPr>
      <w:r w:rsidRPr="007018DC">
        <w:rPr>
          <w:rFonts w:cs="Times New Roman"/>
          <w:bCs w:val="0"/>
          <w:iCs w:val="0"/>
          <w:szCs w:val="28"/>
          <w:lang w:eastAsia="en-US"/>
        </w:rPr>
        <w:t xml:space="preserve">Luật Tổ chức chính quyền địa phương năm 2025 và </w:t>
      </w:r>
      <w:r w:rsidR="0043795E" w:rsidRPr="002D0602">
        <w:rPr>
          <w:rFonts w:cs="Times New Roman"/>
          <w:szCs w:val="28"/>
        </w:rPr>
        <w:t>Luật Ban hành văn bản quy phạm pháp luật số 64/2025/QH15 được sửa đổi, bổ sung bởi Luật số 87/2025/QH15</w:t>
      </w:r>
      <w:r w:rsidRPr="007018DC">
        <w:rPr>
          <w:rFonts w:cs="Times New Roman"/>
          <w:bCs w:val="0"/>
          <w:iCs w:val="0"/>
          <w:szCs w:val="28"/>
          <w:lang w:eastAsia="en-US"/>
        </w:rPr>
        <w:t xml:space="preserve"> quy định việc phân cấp phải được thực hiện trên cơ sở bảo đảm rõ chủ thể, rõ thẩm quyền, phù hợp với yêu cầu cải cách hành chính, tăng cường tính chủ động, tự chịu trách nhiệm của chính quyền địa phương.</w:t>
      </w:r>
    </w:p>
    <w:p w14:paraId="7307DC07" w14:textId="77777777" w:rsidR="007018DC" w:rsidRPr="007018DC" w:rsidRDefault="007018DC" w:rsidP="002D0602">
      <w:pPr>
        <w:suppressAutoHyphens w:val="0"/>
        <w:spacing w:before="60" w:after="60" w:line="320" w:lineRule="exact"/>
        <w:ind w:firstLine="720"/>
        <w:jc w:val="both"/>
        <w:rPr>
          <w:rFonts w:cs="Times New Roman"/>
          <w:bCs w:val="0"/>
          <w:iCs w:val="0"/>
          <w:szCs w:val="28"/>
          <w:lang w:eastAsia="en-US"/>
        </w:rPr>
      </w:pPr>
      <w:r w:rsidRPr="007018DC">
        <w:rPr>
          <w:rFonts w:cs="Times New Roman"/>
          <w:bCs w:val="0"/>
          <w:iCs w:val="0"/>
          <w:szCs w:val="28"/>
          <w:lang w:eastAsia="en-US"/>
        </w:rPr>
        <w:t>Khoản 3 Điều 75 Nghị định số 08/2022/NĐ-CP ngày 10/01/2022 của Chính phủ quy định Ủy ban nhân dân cấp tỉnh xây dựng, trình Hội đồng nhân dân cấp tỉnh ban hành kế hoạch chuyển đổi, loại bỏ phương tiện giao thông sử dụng nhiên liệu hóa thạch, phương tiện giao thông gây ô nhiễm môi trường.</w:t>
      </w:r>
    </w:p>
    <w:p w14:paraId="26852321" w14:textId="77777777" w:rsidR="0043795E" w:rsidRPr="002D0602" w:rsidRDefault="007018DC" w:rsidP="002D0602">
      <w:pPr>
        <w:suppressAutoHyphens w:val="0"/>
        <w:spacing w:before="60" w:after="60" w:line="320" w:lineRule="exact"/>
        <w:ind w:firstLine="720"/>
        <w:jc w:val="both"/>
        <w:rPr>
          <w:rFonts w:cs="Times New Roman"/>
          <w:bCs w:val="0"/>
          <w:iCs w:val="0"/>
          <w:szCs w:val="28"/>
          <w:lang w:eastAsia="en-US"/>
        </w:rPr>
      </w:pPr>
      <w:r w:rsidRPr="007018DC">
        <w:rPr>
          <w:rFonts w:cs="Times New Roman"/>
          <w:bCs w:val="0"/>
          <w:iCs w:val="0"/>
          <w:szCs w:val="28"/>
          <w:lang w:eastAsia="en-US"/>
        </w:rPr>
        <w:t>Trong bối cảnh Trung ương đang đẩy mạnh chủ trương phân cấp, phân quyền, cắt giảm khâu trung gian, nâng cao hiệu lực, hiệu quả quản lý nhà nước, việc Hội đồng nhân dân tỉnh ban hành Nghị quyết phân cấp cho Ủy ban nhân dân tỉnh thực hiện nhiệm vụ ban hành kế hoạch nêu trên là cần thiết nhằm rút ngắn quy trình ban hành văn bản, bảo đảm tính chủ động, kịp thời trong tổ chức thực hiện các nhiệm vụ về bảo vệ môi trường, giảm phát thải khí nhà kính và chuyển đổi xanh trong lĩnh vực giao thông vận tải.</w:t>
      </w:r>
    </w:p>
    <w:p w14:paraId="6060EE09" w14:textId="47048077" w:rsidR="00131050" w:rsidRPr="002D0602" w:rsidRDefault="009949F8" w:rsidP="002D0602">
      <w:pPr>
        <w:suppressAutoHyphens w:val="0"/>
        <w:spacing w:before="60" w:after="60" w:line="320" w:lineRule="exact"/>
        <w:ind w:firstLine="720"/>
        <w:jc w:val="both"/>
        <w:rPr>
          <w:rFonts w:cs="Times New Roman"/>
          <w:b/>
          <w:szCs w:val="28"/>
        </w:rPr>
      </w:pPr>
      <w:r w:rsidRPr="002D0602">
        <w:rPr>
          <w:rFonts w:cs="Times New Roman"/>
          <w:b/>
          <w:szCs w:val="28"/>
        </w:rPr>
        <w:t>2. Mục đích, yêu cầu đánh giá</w:t>
      </w:r>
    </w:p>
    <w:p w14:paraId="3A6A4C56" w14:textId="77777777" w:rsidR="0043795E" w:rsidRPr="0043795E" w:rsidRDefault="0043795E" w:rsidP="002D0602">
      <w:pPr>
        <w:suppressAutoHyphens w:val="0"/>
        <w:spacing w:before="60" w:after="60" w:line="320" w:lineRule="exact"/>
        <w:ind w:firstLine="720"/>
        <w:jc w:val="both"/>
        <w:rPr>
          <w:rFonts w:cs="Times New Roman"/>
          <w:bCs w:val="0"/>
          <w:iCs w:val="0"/>
          <w:szCs w:val="28"/>
          <w:lang w:eastAsia="en-US"/>
        </w:rPr>
      </w:pPr>
      <w:r w:rsidRPr="0043795E">
        <w:rPr>
          <w:rFonts w:cs="Times New Roman"/>
          <w:bCs w:val="0"/>
          <w:iCs w:val="0"/>
          <w:szCs w:val="28"/>
          <w:lang w:eastAsia="en-US"/>
        </w:rPr>
        <w:t>Việc đánh giá được thực hiện nhằm xem xét tính cần thiết, tính hợp hiến, hợp pháp, tính thống nhất và tính khả thi của dự thảo Nghị quyết; đánh giá tác động của việc phân cấp đối với hoạt động quản lý nhà nước, bảo đảm phù hợp với chủ trương của Đảng, quy định của pháp luật và điều kiện thực tiễn của tỉnh Lai Châu.</w:t>
      </w:r>
    </w:p>
    <w:p w14:paraId="12C12961" w14:textId="7F4A460E" w:rsidR="0043795E" w:rsidRDefault="0043795E" w:rsidP="002D0602">
      <w:pPr>
        <w:suppressAutoHyphens w:val="0"/>
        <w:spacing w:before="60" w:after="60" w:line="320" w:lineRule="exact"/>
        <w:ind w:firstLine="720"/>
        <w:jc w:val="both"/>
        <w:rPr>
          <w:rFonts w:cs="Times New Roman"/>
          <w:bCs w:val="0"/>
          <w:iCs w:val="0"/>
          <w:szCs w:val="28"/>
          <w:lang w:eastAsia="en-US"/>
        </w:rPr>
      </w:pPr>
      <w:r w:rsidRPr="0043795E">
        <w:rPr>
          <w:rFonts w:cs="Times New Roman"/>
          <w:bCs w:val="0"/>
          <w:iCs w:val="0"/>
          <w:szCs w:val="28"/>
          <w:lang w:eastAsia="en-US"/>
        </w:rPr>
        <w:lastRenderedPageBreak/>
        <w:t>Đồng thời đánh giá mức độ đáp ứng yêu cầu cải cách thủ tục hành chính, phân cấp, phân quyền, chuyển đổi số, bình đẳng giới và chính sách dân tộc theo quy định của Luật Ban hành văn bản quy phạm pháp luật năm 2025.</w:t>
      </w:r>
    </w:p>
    <w:p w14:paraId="3C0C32FF" w14:textId="77777777" w:rsidR="00131050" w:rsidRPr="002D0602" w:rsidRDefault="009949F8" w:rsidP="002D0602">
      <w:pPr>
        <w:keepNext/>
        <w:widowControl w:val="0"/>
        <w:spacing w:before="60" w:after="60" w:line="320" w:lineRule="exact"/>
        <w:ind w:firstLine="720"/>
        <w:jc w:val="both"/>
        <w:rPr>
          <w:rFonts w:cs="Times New Roman"/>
          <w:szCs w:val="28"/>
        </w:rPr>
      </w:pPr>
      <w:r w:rsidRPr="002D0602">
        <w:rPr>
          <w:rFonts w:cs="Times New Roman"/>
          <w:b/>
          <w:szCs w:val="28"/>
        </w:rPr>
        <w:t>II. KẾT QUẢ ĐÁNH GIÁ</w:t>
      </w:r>
    </w:p>
    <w:p w14:paraId="3B0D2A24" w14:textId="2E5CDD7A" w:rsidR="00131050" w:rsidRPr="002D0602" w:rsidRDefault="009949F8" w:rsidP="002D0602">
      <w:pPr>
        <w:keepNext/>
        <w:widowControl w:val="0"/>
        <w:spacing w:before="60" w:after="60" w:line="320" w:lineRule="exact"/>
        <w:ind w:firstLine="720"/>
        <w:jc w:val="both"/>
        <w:rPr>
          <w:rFonts w:cs="Times New Roman"/>
          <w:b/>
          <w:szCs w:val="28"/>
        </w:rPr>
      </w:pPr>
      <w:r w:rsidRPr="002D0602">
        <w:rPr>
          <w:rFonts w:cs="Times New Roman"/>
          <w:b/>
          <w:szCs w:val="28"/>
        </w:rPr>
        <w:t>1. Đánh giá thủ tục hành chính</w:t>
      </w:r>
    </w:p>
    <w:p w14:paraId="13DD68FC" w14:textId="4468BA0F" w:rsidR="0043795E" w:rsidRPr="002D0602" w:rsidRDefault="0043795E" w:rsidP="002D0602">
      <w:pPr>
        <w:spacing w:before="60" w:after="60" w:line="320" w:lineRule="exact"/>
        <w:ind w:firstLine="720"/>
        <w:jc w:val="both"/>
        <w:rPr>
          <w:rFonts w:cs="Times New Roman"/>
          <w:szCs w:val="28"/>
        </w:rPr>
      </w:pPr>
      <w:r w:rsidRPr="002D0602">
        <w:rPr>
          <w:rFonts w:cs="Times New Roman"/>
          <w:szCs w:val="28"/>
        </w:rPr>
        <w:t>Qua rà soát, dự thảo Nghị quyết không quy định thủ tục hành chính, không sửa đổi, bổ sung, thay thế hoặc bãi bỏ thủ tục hành chính hiện hành.</w:t>
      </w:r>
    </w:p>
    <w:p w14:paraId="301134E9" w14:textId="77777777" w:rsidR="0043795E" w:rsidRPr="002D0602" w:rsidRDefault="0043795E" w:rsidP="002D0602">
      <w:pPr>
        <w:spacing w:before="60" w:after="60" w:line="320" w:lineRule="exact"/>
        <w:ind w:firstLine="720"/>
        <w:jc w:val="both"/>
        <w:rPr>
          <w:rFonts w:cs="Times New Roman"/>
          <w:szCs w:val="28"/>
        </w:rPr>
      </w:pPr>
      <w:r w:rsidRPr="002D0602">
        <w:rPr>
          <w:rFonts w:cs="Times New Roman"/>
          <w:szCs w:val="28"/>
        </w:rPr>
        <w:t>Nghị quyết chỉ quy định việc phân cấp thẩm quyền từ Hội đồng nhân dân tỉnh cho Ủy ban nhân dân tỉnh trong việc ban hành kế hoạch chuyển đổi, loại bỏ phương tiện giao thông sử dụng nhiên liệu hóa thạch, phương tiện giao thông gây ô nhiễm môi trường; không làm phát sinh hồ sơ, trình tự, cách thức thực hiện đối với cơ quan, tổ chức, cá nhân.</w:t>
      </w:r>
    </w:p>
    <w:p w14:paraId="6EB063C8" w14:textId="77777777" w:rsidR="00131050" w:rsidRPr="002D0602" w:rsidRDefault="009949F8" w:rsidP="002D0602">
      <w:pPr>
        <w:keepNext/>
        <w:widowControl w:val="0"/>
        <w:spacing w:before="60" w:after="60" w:line="320" w:lineRule="exact"/>
        <w:ind w:firstLine="720"/>
        <w:jc w:val="both"/>
        <w:rPr>
          <w:rFonts w:cs="Times New Roman"/>
          <w:szCs w:val="28"/>
        </w:rPr>
      </w:pPr>
      <w:r w:rsidRPr="002D0602">
        <w:rPr>
          <w:rFonts w:cs="Times New Roman"/>
          <w:b/>
          <w:szCs w:val="28"/>
        </w:rPr>
        <w:t>2. Việc phân quyền, phân cấp</w:t>
      </w:r>
    </w:p>
    <w:p w14:paraId="5CCB77FD" w14:textId="62DAD9DA" w:rsidR="003E14A4" w:rsidRPr="002D0602" w:rsidRDefault="003E14A4" w:rsidP="002D0602">
      <w:pPr>
        <w:pStyle w:val="pdq2pgselectionanchorcontainer"/>
        <w:spacing w:before="60" w:beforeAutospacing="0" w:after="60" w:afterAutospacing="0" w:line="320" w:lineRule="exact"/>
        <w:ind w:firstLine="720"/>
        <w:jc w:val="both"/>
        <w:rPr>
          <w:sz w:val="28"/>
          <w:szCs w:val="28"/>
        </w:rPr>
      </w:pPr>
      <w:r w:rsidRPr="002D0602">
        <w:rPr>
          <w:sz w:val="28"/>
          <w:szCs w:val="28"/>
        </w:rPr>
        <w:t>a) Sự cần thiết của việc phân cấp</w:t>
      </w:r>
    </w:p>
    <w:p w14:paraId="10630DF5" w14:textId="100CF97A" w:rsidR="009D21FA" w:rsidRPr="002D0602" w:rsidRDefault="009D21FA" w:rsidP="002D0602">
      <w:pPr>
        <w:pStyle w:val="pdq2pgselectionanchorcontainer"/>
        <w:spacing w:before="60" w:beforeAutospacing="0" w:after="60" w:afterAutospacing="0" w:line="320" w:lineRule="exact"/>
        <w:ind w:firstLine="720"/>
        <w:jc w:val="both"/>
        <w:rPr>
          <w:sz w:val="28"/>
          <w:szCs w:val="28"/>
        </w:rPr>
      </w:pPr>
      <w:r w:rsidRPr="002D0602">
        <w:rPr>
          <w:sz w:val="28"/>
          <w:szCs w:val="28"/>
        </w:rPr>
        <w:t>Việc xây dựng Nghị quyết phân cấp cho Ủy ban nhân dân tỉnh thực hiện nhiệm vụ ban hành kế hoạch chuyển đổi, loại bỏ phương tiện giao thông sử dụng nhiên liệu hóa thạch, phương tiện giao thông gây ô nhiễm môi trường là cần thiết nhằm cụ thể hóa quy định tại khoản 1 Điều 13 Luật Tổ chức chính quyền địa phương năm 2025 về phân cấp nhiệm vụ, quyền hạn của Hội đồng nhân dân cho Ủy ban nhân dân cùng cấp; đồng thời thực hiện chủ trương của Trung ương về đẩy mạnh phân quyền, phân cấp, cải cách hành chính và nâng cao hiệu lực, hiệu quả quản lý nhà nước.</w:t>
      </w:r>
    </w:p>
    <w:p w14:paraId="431B1FA9" w14:textId="77777777" w:rsidR="009D21FA" w:rsidRPr="002D0602" w:rsidRDefault="009D21FA" w:rsidP="002D0602">
      <w:pPr>
        <w:spacing w:before="60" w:after="60" w:line="320" w:lineRule="exact"/>
        <w:ind w:firstLine="720"/>
        <w:jc w:val="both"/>
        <w:rPr>
          <w:rFonts w:cs="Times New Roman"/>
          <w:szCs w:val="28"/>
        </w:rPr>
      </w:pPr>
      <w:r w:rsidRPr="002D0602">
        <w:rPr>
          <w:rFonts w:cs="Times New Roman"/>
          <w:szCs w:val="28"/>
        </w:rPr>
        <w:t>Việc phân cấp trong trường hợp này là phân cấp có điều kiện, không phải phân cấp toàn bộ thẩm quyền của Hội đồng nhân dân tỉnh. Hội đồng nhân dân tỉnh chỉ phân cấp cho Ủy ban nhân dân tỉnh thực hiện nhiệm vụ ban hành kế hoạch theo quy định tại khoản 3 Điều 75 Nghị định số 08/2022/NĐ-CP; không phân cấp việc quyết định các cơ chế, chính sách hoặc những nội dung thuộc thẩm quyền riêng của Hội đồng nhân dân tỉnh theo quy định của pháp luật.</w:t>
      </w:r>
    </w:p>
    <w:p w14:paraId="6F7466C7" w14:textId="77777777" w:rsidR="002D0602" w:rsidRDefault="009D21FA" w:rsidP="002D0602">
      <w:pPr>
        <w:pStyle w:val="NormalWeb"/>
        <w:spacing w:before="60" w:after="60" w:line="320" w:lineRule="exact"/>
        <w:ind w:firstLine="720"/>
        <w:jc w:val="both"/>
        <w:rPr>
          <w:sz w:val="28"/>
          <w:szCs w:val="28"/>
        </w:rPr>
      </w:pPr>
      <w:r w:rsidRPr="002D0602">
        <w:rPr>
          <w:sz w:val="28"/>
          <w:szCs w:val="28"/>
        </w:rPr>
        <w:t>Sau khi phân cấp, Hội đồng nhân dân tỉnh vẫn thực hiện đầy đủ chức năng giám sát việc tổ chức thực hiện; Ủy ban nhân dân tỉnh chịu trách nhiệm trước Hội đồng nhân dân tỉnh và trước pháp luật về việc thực hiện nhiệm vụ được phân cấp. Do đó, việc phân cấp không làm thay đổi thẩm quyền luật định, đồng thời vẫn bảo đảm cơ chế kiểm soát quyền lực giữa cơ quan quyết định và cơ quan tổ chức thực hiện.</w:t>
      </w:r>
    </w:p>
    <w:p w14:paraId="37B3FE61" w14:textId="6279A323" w:rsidR="003E14A4" w:rsidRPr="002D0602" w:rsidRDefault="003E14A4" w:rsidP="002D0602">
      <w:pPr>
        <w:pStyle w:val="NormalWeb"/>
        <w:spacing w:before="60" w:after="60" w:line="320" w:lineRule="exact"/>
        <w:ind w:firstLine="720"/>
        <w:jc w:val="both"/>
        <w:rPr>
          <w:sz w:val="28"/>
          <w:szCs w:val="28"/>
        </w:rPr>
      </w:pPr>
      <w:r w:rsidRPr="002D0602">
        <w:rPr>
          <w:sz w:val="28"/>
          <w:szCs w:val="28"/>
        </w:rPr>
        <w:t>b) Thẩm quyền phân cấp</w:t>
      </w:r>
    </w:p>
    <w:p w14:paraId="0F32AEB3" w14:textId="77777777" w:rsidR="003E14A4" w:rsidRPr="002D0602" w:rsidRDefault="003E14A4" w:rsidP="002D0602">
      <w:pPr>
        <w:pStyle w:val="NormalWeb"/>
        <w:spacing w:before="60" w:after="60" w:line="320" w:lineRule="exact"/>
        <w:ind w:firstLine="720"/>
        <w:jc w:val="both"/>
        <w:rPr>
          <w:sz w:val="28"/>
          <w:szCs w:val="28"/>
        </w:rPr>
      </w:pPr>
      <w:r w:rsidRPr="002D0602">
        <w:rPr>
          <w:sz w:val="28"/>
          <w:szCs w:val="28"/>
        </w:rPr>
        <w:t>Theo Luật Tổ chức chính quyền địa phương năm 2025 và Luật Ban hành văn bản quy phạm pháp luật năm 2025, Hội đồng nhân dân tỉnh có thẩm quyền quyết định việc phân cấp cho Ủy ban nhân dân tỉnh thực hiện một số nhiệm vụ thuộc thẩm quyền của Hội đồng nhân dân theo quy định của pháp luật.</w:t>
      </w:r>
    </w:p>
    <w:p w14:paraId="1B187DF5" w14:textId="77777777" w:rsidR="002D0602" w:rsidRDefault="003E14A4" w:rsidP="002D0602">
      <w:pPr>
        <w:pStyle w:val="NormalWeb"/>
        <w:spacing w:before="60" w:after="60" w:line="320" w:lineRule="exact"/>
        <w:ind w:firstLine="720"/>
        <w:jc w:val="both"/>
        <w:rPr>
          <w:sz w:val="28"/>
          <w:szCs w:val="28"/>
        </w:rPr>
      </w:pPr>
      <w:r w:rsidRPr="002D0602">
        <w:rPr>
          <w:sz w:val="28"/>
          <w:szCs w:val="28"/>
        </w:rPr>
        <w:t>Do đó, việc ban hành Nghị quyết để phân cấp cho Ủy ban nhân dân tỉnh thực hiện nhiệm vụ quy định tại khoản 3 Điều 75 Nghị định số 08/2022/NĐ-CP là đúng thẩm quyền.</w:t>
      </w:r>
    </w:p>
    <w:p w14:paraId="03FC1761" w14:textId="29DCEA62" w:rsidR="003E14A4" w:rsidRPr="002D0602" w:rsidRDefault="003E14A4" w:rsidP="002D0602">
      <w:pPr>
        <w:pStyle w:val="NormalWeb"/>
        <w:spacing w:before="60" w:after="60" w:line="320" w:lineRule="exact"/>
        <w:ind w:firstLine="720"/>
        <w:jc w:val="both"/>
        <w:rPr>
          <w:sz w:val="28"/>
          <w:szCs w:val="28"/>
        </w:rPr>
      </w:pPr>
      <w:r w:rsidRPr="002D0602">
        <w:rPr>
          <w:sz w:val="28"/>
          <w:szCs w:val="28"/>
        </w:rPr>
        <w:t>c) Nội dung phân cấp</w:t>
      </w:r>
    </w:p>
    <w:p w14:paraId="7919A832" w14:textId="77777777" w:rsidR="003E14A4" w:rsidRPr="002D0602" w:rsidRDefault="003E14A4" w:rsidP="002D0602">
      <w:pPr>
        <w:pStyle w:val="NormalWeb"/>
        <w:spacing w:before="60" w:after="60" w:line="320" w:lineRule="exact"/>
        <w:ind w:firstLine="720"/>
        <w:jc w:val="both"/>
        <w:rPr>
          <w:sz w:val="28"/>
          <w:szCs w:val="28"/>
        </w:rPr>
      </w:pPr>
      <w:r w:rsidRPr="002D0602">
        <w:rPr>
          <w:sz w:val="28"/>
          <w:szCs w:val="28"/>
        </w:rPr>
        <w:lastRenderedPageBreak/>
        <w:t>Phân cấp cho Ủy ban nhân dân tỉnh quyết định ban hành kế hoạch chuyển đổi, loại bỏ phương tiện giao thông sử dụng nhiên liệu hóa thạch, phương tiện giao thông gây ô nhiễm môi trường trên địa bàn tỉnh theo quy định của pháp luật.</w:t>
      </w:r>
    </w:p>
    <w:p w14:paraId="42309EA5" w14:textId="77777777" w:rsidR="002D0602" w:rsidRDefault="003E14A4" w:rsidP="002D0602">
      <w:pPr>
        <w:pStyle w:val="pdq2pgselectionanchorcontainer"/>
        <w:spacing w:before="60" w:beforeAutospacing="0" w:after="60" w:afterAutospacing="0" w:line="320" w:lineRule="exact"/>
        <w:ind w:firstLine="720"/>
        <w:jc w:val="both"/>
        <w:rPr>
          <w:sz w:val="28"/>
          <w:szCs w:val="28"/>
        </w:rPr>
      </w:pPr>
      <w:r w:rsidRPr="002D0602">
        <w:rPr>
          <w:sz w:val="28"/>
          <w:szCs w:val="28"/>
        </w:rPr>
        <w:t>Nội dung phân cấp rõ ràng, cụ thể, không làm thay đổi bản chất nhiệm vụ quản lý nhà nước và không làm thay đổi trách nhiệm của các cơ quan liên quan trong quá trình tổ chức thực hiện.</w:t>
      </w:r>
    </w:p>
    <w:p w14:paraId="7CCDA01E" w14:textId="1BB67845" w:rsidR="003E14A4" w:rsidRPr="002D0602" w:rsidRDefault="003E14A4" w:rsidP="002D0602">
      <w:pPr>
        <w:pStyle w:val="pdq2pgselectionanchorcontainer"/>
        <w:spacing w:before="60" w:beforeAutospacing="0" w:after="60" w:afterAutospacing="0" w:line="320" w:lineRule="exact"/>
        <w:ind w:firstLine="720"/>
        <w:jc w:val="both"/>
        <w:rPr>
          <w:sz w:val="28"/>
          <w:szCs w:val="28"/>
        </w:rPr>
      </w:pPr>
      <w:r w:rsidRPr="002D0602">
        <w:rPr>
          <w:sz w:val="28"/>
          <w:szCs w:val="28"/>
        </w:rPr>
        <w:t>d) Điều kiện bảo đảm thực hiện</w:t>
      </w:r>
    </w:p>
    <w:p w14:paraId="778486BF" w14:textId="77777777" w:rsidR="003E14A4" w:rsidRPr="002D0602" w:rsidRDefault="003E14A4" w:rsidP="002D0602">
      <w:pPr>
        <w:pStyle w:val="NormalWeb"/>
        <w:spacing w:before="60" w:after="60" w:line="320" w:lineRule="exact"/>
        <w:ind w:firstLine="720"/>
        <w:jc w:val="both"/>
        <w:rPr>
          <w:sz w:val="28"/>
          <w:szCs w:val="28"/>
        </w:rPr>
      </w:pPr>
      <w:r w:rsidRPr="002D0602">
        <w:rPr>
          <w:sz w:val="28"/>
          <w:szCs w:val="28"/>
        </w:rPr>
        <w:t>Ủy ban nhân dân tỉnh có đầy đủ cơ sở pháp lý, tổ chức bộ máy và nguồn lực để thực hiện nhiệm vụ được phân cấp.</w:t>
      </w:r>
    </w:p>
    <w:p w14:paraId="3232444D" w14:textId="77777777" w:rsidR="003E14A4" w:rsidRPr="002D0602" w:rsidRDefault="003E14A4" w:rsidP="002D0602">
      <w:pPr>
        <w:pStyle w:val="NormalWeb"/>
        <w:spacing w:before="60" w:after="60" w:line="320" w:lineRule="exact"/>
        <w:ind w:firstLine="720"/>
        <w:jc w:val="both"/>
        <w:rPr>
          <w:sz w:val="28"/>
          <w:szCs w:val="28"/>
        </w:rPr>
      </w:pPr>
      <w:r w:rsidRPr="002D0602">
        <w:rPr>
          <w:sz w:val="28"/>
          <w:szCs w:val="28"/>
        </w:rPr>
        <w:t>Sở Xây dựng và các sở, ngành liên quan có chức năng tham mưu, tổng hợp số liệu, xây dựng kế hoạch, phối hợp tổ chức triển khai và theo dõi việc thực hiện.</w:t>
      </w:r>
    </w:p>
    <w:p w14:paraId="5332CB29" w14:textId="77777777" w:rsidR="002D0602" w:rsidRDefault="003E14A4" w:rsidP="002D0602">
      <w:pPr>
        <w:pStyle w:val="NormalWeb"/>
        <w:spacing w:before="60" w:after="60" w:line="320" w:lineRule="exact"/>
        <w:ind w:firstLine="720"/>
        <w:jc w:val="both"/>
        <w:rPr>
          <w:sz w:val="28"/>
          <w:szCs w:val="28"/>
        </w:rPr>
      </w:pPr>
      <w:r w:rsidRPr="002D0602">
        <w:rPr>
          <w:sz w:val="28"/>
          <w:szCs w:val="28"/>
        </w:rPr>
        <w:t>Việc thực hiện kế hoạch vẫn bảo đảm tuân thủ quy hoạch, chiến lược phát triển kinh tế - xã hội, quy hoạch giao thông và các quy định của pháp luật về bảo vệ môi trường.</w:t>
      </w:r>
    </w:p>
    <w:p w14:paraId="6D0F7E91" w14:textId="30AF6141" w:rsidR="003E14A4" w:rsidRPr="002D0602" w:rsidRDefault="003E14A4" w:rsidP="002D0602">
      <w:pPr>
        <w:pStyle w:val="NormalWeb"/>
        <w:spacing w:before="60" w:after="60" w:line="320" w:lineRule="exact"/>
        <w:ind w:firstLine="720"/>
        <w:jc w:val="both"/>
        <w:rPr>
          <w:sz w:val="28"/>
          <w:szCs w:val="28"/>
        </w:rPr>
      </w:pPr>
      <w:r w:rsidRPr="002D0602">
        <w:rPr>
          <w:sz w:val="28"/>
          <w:szCs w:val="28"/>
        </w:rPr>
        <w:t>đ) Kiểm tra, giám sát sau phân cấp</w:t>
      </w:r>
    </w:p>
    <w:p w14:paraId="0677708C" w14:textId="77777777" w:rsidR="003E14A4" w:rsidRPr="002D0602" w:rsidRDefault="003E14A4" w:rsidP="002D0602">
      <w:pPr>
        <w:pStyle w:val="NormalWeb"/>
        <w:spacing w:before="60" w:after="60" w:line="320" w:lineRule="exact"/>
        <w:ind w:firstLine="720"/>
        <w:jc w:val="both"/>
        <w:rPr>
          <w:sz w:val="28"/>
          <w:szCs w:val="28"/>
        </w:rPr>
      </w:pPr>
      <w:r w:rsidRPr="002D0602">
        <w:rPr>
          <w:sz w:val="28"/>
          <w:szCs w:val="28"/>
        </w:rPr>
        <w:t>Ủy ban nhân dân tỉnh chịu trách nhiệm trước Hội đồng nhân dân tỉnh và trước pháp luật về việc thực hiện nhiệm vụ được phân cấp.</w:t>
      </w:r>
    </w:p>
    <w:p w14:paraId="2F2565AE" w14:textId="77777777" w:rsidR="003E14A4" w:rsidRPr="002D0602" w:rsidRDefault="003E14A4" w:rsidP="002D0602">
      <w:pPr>
        <w:pStyle w:val="NormalWeb"/>
        <w:spacing w:before="60" w:after="60" w:line="320" w:lineRule="exact"/>
        <w:ind w:firstLine="720"/>
        <w:jc w:val="both"/>
        <w:rPr>
          <w:sz w:val="28"/>
          <w:szCs w:val="28"/>
        </w:rPr>
      </w:pPr>
      <w:r w:rsidRPr="002D0602">
        <w:rPr>
          <w:sz w:val="28"/>
          <w:szCs w:val="28"/>
        </w:rPr>
        <w:t>Thường trực Hội đồng nhân dân tỉnh, các Ban của Hội đồng nhân dân tỉnh và đại biểu Hội đồng nhân dân tỉnh thực hiện giám sát theo quy định của pháp luật.</w:t>
      </w:r>
    </w:p>
    <w:p w14:paraId="35867BAA" w14:textId="77777777" w:rsidR="003E14A4" w:rsidRPr="002D0602" w:rsidRDefault="003E14A4" w:rsidP="002D0602">
      <w:pPr>
        <w:pStyle w:val="NormalWeb"/>
        <w:spacing w:before="60" w:after="60" w:line="320" w:lineRule="exact"/>
        <w:ind w:firstLine="720"/>
        <w:jc w:val="both"/>
        <w:rPr>
          <w:sz w:val="28"/>
          <w:szCs w:val="28"/>
        </w:rPr>
      </w:pPr>
      <w:r w:rsidRPr="002D0602">
        <w:rPr>
          <w:sz w:val="28"/>
          <w:szCs w:val="28"/>
        </w:rPr>
        <w:t>Ủy ban nhân dân tỉnh thực hiện chế độ báo cáo định kỳ hoặc đột xuất theo yêu cầu của Hội đồng nhân dân tỉnh.</w:t>
      </w:r>
    </w:p>
    <w:p w14:paraId="479EE83E" w14:textId="13C6325B" w:rsidR="003E14A4" w:rsidRPr="002D0602" w:rsidRDefault="003E14A4" w:rsidP="002D0602">
      <w:pPr>
        <w:pStyle w:val="NormalWeb"/>
        <w:spacing w:before="60" w:after="60" w:line="320" w:lineRule="exact"/>
        <w:ind w:firstLine="720"/>
        <w:jc w:val="both"/>
        <w:rPr>
          <w:b/>
          <w:sz w:val="28"/>
          <w:szCs w:val="28"/>
        </w:rPr>
      </w:pPr>
      <w:r w:rsidRPr="002D0602">
        <w:rPr>
          <w:b/>
          <w:sz w:val="28"/>
          <w:szCs w:val="28"/>
        </w:rPr>
        <w:t>3. Việc ứng dụng, thúc đẩy phát triển khoa học, công nghệ, đổi mới sáng tạo và chuyển đổi số</w:t>
      </w:r>
    </w:p>
    <w:p w14:paraId="3640701C" w14:textId="77777777" w:rsidR="003E14A4" w:rsidRPr="002D0602" w:rsidRDefault="003E14A4" w:rsidP="002D0602">
      <w:pPr>
        <w:pStyle w:val="NormalWeb"/>
        <w:spacing w:before="60" w:after="60" w:line="320" w:lineRule="exact"/>
        <w:ind w:firstLine="720"/>
        <w:jc w:val="both"/>
        <w:rPr>
          <w:sz w:val="28"/>
          <w:szCs w:val="28"/>
        </w:rPr>
      </w:pPr>
      <w:r w:rsidRPr="002D0602">
        <w:rPr>
          <w:sz w:val="28"/>
          <w:szCs w:val="28"/>
        </w:rPr>
        <w:t>Dự thảo Nghị quyết không quy định trực tiếp về ứng dụng khoa học, công nghệ và chuyển đổi số.</w:t>
      </w:r>
    </w:p>
    <w:p w14:paraId="6119B6FD" w14:textId="77777777" w:rsidR="003E14A4" w:rsidRPr="002D0602" w:rsidRDefault="003E14A4" w:rsidP="002D0602">
      <w:pPr>
        <w:pStyle w:val="NormalWeb"/>
        <w:spacing w:before="60" w:after="60" w:line="320" w:lineRule="exact"/>
        <w:ind w:firstLine="720"/>
        <w:jc w:val="both"/>
        <w:rPr>
          <w:sz w:val="28"/>
          <w:szCs w:val="28"/>
        </w:rPr>
      </w:pPr>
      <w:r w:rsidRPr="002D0602">
        <w:rPr>
          <w:sz w:val="28"/>
          <w:szCs w:val="28"/>
        </w:rPr>
        <w:t>Tuy nhiên, việc phân cấp cho Ủy ban nhân dân tỉnh sẽ tạo điều kiện thuận lợi để việc xây dựng, điều chỉnh và ban hành kế hoạch được thực hiện nhanh chóng, linh hoạt, góp phần thúc đẩy ứng dụng cơ sở dữ liệu, hệ thống thông tin, số hóa công tác quản lý phương tiện giao thông, kiểm kê phát thải và xây dựng lộ trình chuyển đổi phương tiện sử dụng năng lượng sạch.</w:t>
      </w:r>
    </w:p>
    <w:p w14:paraId="68C2B7EE" w14:textId="77777777" w:rsidR="003E14A4" w:rsidRPr="002D0602" w:rsidRDefault="003E14A4" w:rsidP="002D0602">
      <w:pPr>
        <w:pStyle w:val="NormalWeb"/>
        <w:spacing w:before="60" w:after="60" w:line="320" w:lineRule="exact"/>
        <w:ind w:firstLine="720"/>
        <w:jc w:val="both"/>
        <w:rPr>
          <w:sz w:val="28"/>
          <w:szCs w:val="28"/>
        </w:rPr>
      </w:pPr>
      <w:r w:rsidRPr="002D0602">
        <w:rPr>
          <w:sz w:val="28"/>
          <w:szCs w:val="28"/>
        </w:rPr>
        <w:t>Việc triển khai kế hoạch trong thời gian tới có thể gắn với các nền tảng số, cơ sở dữ liệu dùng chung và các hệ thống quản lý giao thông thông minh theo định hướng chuyển đổi số của Chính phủ.</w:t>
      </w:r>
    </w:p>
    <w:p w14:paraId="37AD449D" w14:textId="2F4E453B" w:rsidR="003E14A4" w:rsidRPr="002D0602" w:rsidRDefault="003E14A4" w:rsidP="002D0602">
      <w:pPr>
        <w:pStyle w:val="NormalWeb"/>
        <w:spacing w:before="60" w:after="60" w:line="320" w:lineRule="exact"/>
        <w:ind w:firstLine="720"/>
        <w:jc w:val="both"/>
        <w:rPr>
          <w:b/>
          <w:sz w:val="28"/>
          <w:szCs w:val="28"/>
        </w:rPr>
      </w:pPr>
      <w:r w:rsidRPr="002D0602">
        <w:rPr>
          <w:b/>
          <w:sz w:val="28"/>
          <w:szCs w:val="28"/>
        </w:rPr>
        <w:t>4. Việc bảo đảm bình đẳng giới</w:t>
      </w:r>
    </w:p>
    <w:p w14:paraId="0D2E05BE" w14:textId="77777777" w:rsidR="003E14A4" w:rsidRPr="002D0602" w:rsidRDefault="003E14A4" w:rsidP="002D0602">
      <w:pPr>
        <w:pStyle w:val="NormalWeb"/>
        <w:spacing w:before="60" w:after="60" w:line="320" w:lineRule="exact"/>
        <w:ind w:firstLine="720"/>
        <w:jc w:val="both"/>
        <w:rPr>
          <w:sz w:val="28"/>
          <w:szCs w:val="28"/>
        </w:rPr>
      </w:pPr>
      <w:r w:rsidRPr="002D0602">
        <w:rPr>
          <w:sz w:val="28"/>
          <w:szCs w:val="28"/>
        </w:rPr>
        <w:t>Dự thảo Nghị quyết không có quy định phân biệt đối xử hoặc tạo sự khác biệt về quyền, nghĩa vụ giữa nam và nữ.</w:t>
      </w:r>
    </w:p>
    <w:p w14:paraId="399F012C" w14:textId="77777777" w:rsidR="003E14A4" w:rsidRPr="002D0602" w:rsidRDefault="003E14A4" w:rsidP="002D0602">
      <w:pPr>
        <w:pStyle w:val="NormalWeb"/>
        <w:spacing w:before="60" w:after="60" w:line="320" w:lineRule="exact"/>
        <w:ind w:firstLine="720"/>
        <w:jc w:val="both"/>
        <w:rPr>
          <w:sz w:val="28"/>
          <w:szCs w:val="28"/>
        </w:rPr>
      </w:pPr>
      <w:r w:rsidRPr="002D0602">
        <w:rPr>
          <w:sz w:val="28"/>
          <w:szCs w:val="28"/>
        </w:rPr>
        <w:t>Việc phân cấp chỉ liên quan đến tổ chức thực hiện nhiệm vụ quản lý nhà nước, không ảnh hưởng đến quyền, cơ hội hoặc điều kiện thụ hưởng của mỗi giới.</w:t>
      </w:r>
    </w:p>
    <w:p w14:paraId="664ACE7C" w14:textId="77777777" w:rsidR="003E14A4" w:rsidRPr="002D0602" w:rsidRDefault="003E14A4" w:rsidP="002D0602">
      <w:pPr>
        <w:pStyle w:val="NormalWeb"/>
        <w:spacing w:before="60" w:after="60" w:line="320" w:lineRule="exact"/>
        <w:ind w:firstLine="720"/>
        <w:jc w:val="both"/>
        <w:rPr>
          <w:sz w:val="28"/>
          <w:szCs w:val="28"/>
        </w:rPr>
      </w:pPr>
      <w:r w:rsidRPr="002D0602">
        <w:rPr>
          <w:sz w:val="28"/>
          <w:szCs w:val="28"/>
        </w:rPr>
        <w:t>Do đó, dự thảo Nghị quyết bảo đảm phù hợp với Luật Bình đẳng giới và các điều ước quốc tế mà Việt Nam là thành viên.</w:t>
      </w:r>
    </w:p>
    <w:p w14:paraId="336038DE" w14:textId="7DA1E7E8" w:rsidR="003E14A4" w:rsidRPr="002D0602" w:rsidRDefault="003E14A4" w:rsidP="002D0602">
      <w:pPr>
        <w:pStyle w:val="NormalWeb"/>
        <w:spacing w:before="60" w:after="60" w:line="320" w:lineRule="exact"/>
        <w:ind w:firstLine="720"/>
        <w:jc w:val="both"/>
        <w:rPr>
          <w:b/>
          <w:sz w:val="28"/>
          <w:szCs w:val="28"/>
        </w:rPr>
      </w:pPr>
      <w:r w:rsidRPr="002D0602">
        <w:rPr>
          <w:b/>
          <w:sz w:val="28"/>
          <w:szCs w:val="28"/>
        </w:rPr>
        <w:t>5. Việc thực hiện chính sách dân tộc</w:t>
      </w:r>
    </w:p>
    <w:p w14:paraId="0D7265B5" w14:textId="77777777" w:rsidR="003E14A4" w:rsidRPr="002D0602" w:rsidRDefault="003E14A4" w:rsidP="002D0602">
      <w:pPr>
        <w:pStyle w:val="NormalWeb"/>
        <w:spacing w:before="60" w:after="60" w:line="320" w:lineRule="exact"/>
        <w:ind w:firstLine="720"/>
        <w:jc w:val="both"/>
        <w:rPr>
          <w:sz w:val="28"/>
          <w:szCs w:val="28"/>
        </w:rPr>
      </w:pPr>
      <w:r w:rsidRPr="002D0602">
        <w:rPr>
          <w:sz w:val="28"/>
          <w:szCs w:val="28"/>
        </w:rPr>
        <w:lastRenderedPageBreak/>
        <w:t>Dự thảo Nghị quyết không quy định chính sách dân tộc riêng.</w:t>
      </w:r>
    </w:p>
    <w:p w14:paraId="78B4880C" w14:textId="77777777" w:rsidR="003E14A4" w:rsidRPr="002D0602" w:rsidRDefault="003E14A4" w:rsidP="002D0602">
      <w:pPr>
        <w:pStyle w:val="NormalWeb"/>
        <w:spacing w:before="60" w:after="60" w:line="320" w:lineRule="exact"/>
        <w:ind w:firstLine="720"/>
        <w:jc w:val="both"/>
        <w:rPr>
          <w:sz w:val="28"/>
          <w:szCs w:val="28"/>
        </w:rPr>
      </w:pPr>
      <w:r w:rsidRPr="002D0602">
        <w:rPr>
          <w:sz w:val="28"/>
          <w:szCs w:val="28"/>
        </w:rPr>
        <w:t>Tuy nhiên, việc phân cấp cho Ủy ban nhân dân tỉnh sẽ tạo điều kiện để chủ động xây dựng kế hoạch phù hợp với điều kiện đặc thù của tỉnh Lai Châu - địa phương miền núi, biên giới có tỷ lệ đồng bào dân tộc thiểu số cao, địa hình chia cắt, mạng lưới giao thông phân tán.</w:t>
      </w:r>
    </w:p>
    <w:p w14:paraId="40D43683" w14:textId="468AFC0B" w:rsidR="003E14A4" w:rsidRPr="002D0602" w:rsidRDefault="003E14A4" w:rsidP="002D0602">
      <w:pPr>
        <w:pStyle w:val="NormalWeb"/>
        <w:spacing w:before="60" w:after="60" w:line="320" w:lineRule="exact"/>
        <w:ind w:firstLine="720"/>
        <w:jc w:val="both"/>
        <w:rPr>
          <w:sz w:val="28"/>
          <w:szCs w:val="28"/>
        </w:rPr>
      </w:pPr>
      <w:r w:rsidRPr="002D0602">
        <w:rPr>
          <w:sz w:val="28"/>
          <w:szCs w:val="28"/>
        </w:rPr>
        <w:t>Trong quá trình xây dựng và triển khai kế hoạch, Ủy ban nhân dân tỉnh sẽ xem xét đầy đủ các điều kiện về phát triển kinh tế - xã hội vùng đồng bào dân tộc thiểu số, bảo đảm tiếp cận bình đẳng đối với các chính sách hỗ trợ chuyển đổi phương tiện, góp phần bảo vệ môi trường, nâng cao chất lượng cuộc sống của Nhân dân, không làm ảnh hưởng đến quyền và lợi ích hợp pháp của các dân tộc trên địa bàn tỉnh.</w:t>
      </w:r>
    </w:p>
    <w:p w14:paraId="2EC3638E" w14:textId="681891DF" w:rsidR="00A410D0" w:rsidRPr="002D0602" w:rsidRDefault="009949F8" w:rsidP="002D0602">
      <w:pPr>
        <w:spacing w:before="60" w:after="60" w:line="320" w:lineRule="exact"/>
        <w:ind w:firstLine="720"/>
        <w:jc w:val="both"/>
        <w:rPr>
          <w:rFonts w:cs="Times New Roman"/>
          <w:szCs w:val="28"/>
        </w:rPr>
      </w:pPr>
      <w:r w:rsidRPr="002D0602">
        <w:rPr>
          <w:rFonts w:cs="Times New Roman"/>
          <w:szCs w:val="28"/>
        </w:rPr>
        <w:t xml:space="preserve">Trên đây là 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thảo </w:t>
      </w:r>
      <w:r w:rsidR="00A410D0" w:rsidRPr="002D0602">
        <w:rPr>
          <w:rFonts w:cs="Times New Roman"/>
          <w:szCs w:val="28"/>
        </w:rPr>
        <w:t xml:space="preserve">Nghị quyết </w:t>
      </w:r>
      <w:r w:rsidR="007E3486">
        <w:rPr>
          <w:rFonts w:cs="Times New Roman"/>
          <w:szCs w:val="28"/>
        </w:rPr>
        <w:t>p</w:t>
      </w:r>
      <w:r w:rsidR="00A410D0" w:rsidRPr="002D0602">
        <w:rPr>
          <w:rFonts w:cs="Times New Roman"/>
          <w:szCs w:val="28"/>
        </w:rPr>
        <w:t>hân cấp cho Ủy ban nhân dân tỉnh thực hiện nhiệm vụ ban hành kế hoạch chuyển đổi, loại bỏ phương tiện giao thông sử dụng nhiên liệu hóa thạch, phương tiện giao thông gây ô nhiễm môi trường</w:t>
      </w:r>
      <w:r w:rsidR="003F220C">
        <w:rPr>
          <w:rFonts w:cs="Times New Roman"/>
          <w:szCs w:val="28"/>
        </w:rPr>
        <w:t>./.</w:t>
      </w:r>
    </w:p>
    <w:p w14:paraId="246931E2" w14:textId="7CB91AC1" w:rsidR="00A410D0" w:rsidRDefault="00A410D0" w:rsidP="00A410D0">
      <w:pPr>
        <w:jc w:val="both"/>
        <w:rPr>
          <w:rFonts w:cs="Times New Roman"/>
          <w:szCs w:val="28"/>
        </w:rPr>
      </w:pPr>
      <w:bookmarkStart w:id="0" w:name="_GoBack"/>
      <w:bookmarkEnd w:id="0"/>
    </w:p>
    <w:sectPr w:rsidR="00A410D0" w:rsidSect="002F73B5">
      <w:headerReference w:type="default" r:id="rId7"/>
      <w:headerReference w:type="first" r:id="rId8"/>
      <w:pgSz w:w="11906" w:h="16838"/>
      <w:pgMar w:top="1134" w:right="1134" w:bottom="1134" w:left="1701" w:header="567"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1DCC9" w14:textId="77777777" w:rsidR="00B453CD" w:rsidRDefault="00B453CD">
      <w:r>
        <w:separator/>
      </w:r>
    </w:p>
  </w:endnote>
  <w:endnote w:type="continuationSeparator" w:id="0">
    <w:p w14:paraId="4D51AE34" w14:textId="77777777" w:rsidR="00B453CD" w:rsidRDefault="00B4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panose1 w:val="00000000000000000000"/>
    <w:charset w:val="80"/>
    <w:family w:val="roman"/>
    <w:notTrueType/>
    <w:pitch w:val="default"/>
  </w:font>
  <w:font w:name="Liberation Sans">
    <w:altName w:val="Arial"/>
    <w:charset w:val="00"/>
    <w:family w:val="swiss"/>
    <w:pitch w:val="variable"/>
  </w:font>
  <w:font w:name="Noto Sans CJK SC">
    <w:panose1 w:val="00000000000000000000"/>
    <w:charset w:val="00"/>
    <w:family w:val="roman"/>
    <w:notTrueType/>
    <w:pitch w:val="default"/>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9206B" w14:textId="77777777" w:rsidR="00B453CD" w:rsidRDefault="00B453CD">
      <w:r>
        <w:separator/>
      </w:r>
    </w:p>
  </w:footnote>
  <w:footnote w:type="continuationSeparator" w:id="0">
    <w:p w14:paraId="50CCF9AD" w14:textId="77777777" w:rsidR="00B453CD" w:rsidRDefault="00B453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EA18B" w14:textId="395E6760" w:rsidR="00131050" w:rsidRDefault="009949F8">
    <w:pPr>
      <w:pStyle w:val="Header"/>
      <w:jc w:val="center"/>
      <w:rPr>
        <w:rFonts w:cs="Times New Roman"/>
      </w:rPr>
    </w:pPr>
    <w:r>
      <w:rPr>
        <w:rFonts w:cs="Times New Roman"/>
      </w:rPr>
      <w:fldChar w:fldCharType="begin"/>
    </w:r>
    <w:r>
      <w:rPr>
        <w:rFonts w:cs="Times New Roman"/>
      </w:rPr>
      <w:instrText xml:space="preserve"> PAGE </w:instrText>
    </w:r>
    <w:r>
      <w:rPr>
        <w:rFonts w:cs="Times New Roman"/>
      </w:rPr>
      <w:fldChar w:fldCharType="separate"/>
    </w:r>
    <w:r w:rsidR="007E3486">
      <w:rPr>
        <w:rFonts w:cs="Times New Roman"/>
        <w:noProof/>
      </w:rPr>
      <w:t>3</w:t>
    </w:r>
    <w:r>
      <w:rPr>
        <w:rFonts w:cs="Times New Roman"/>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B052B" w14:textId="77777777" w:rsidR="00131050" w:rsidRDefault="001310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2424C"/>
    <w:multiLevelType w:val="multilevel"/>
    <w:tmpl w:val="1EA059AA"/>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50"/>
    <w:rsid w:val="00002104"/>
    <w:rsid w:val="00006B7F"/>
    <w:rsid w:val="00025DCF"/>
    <w:rsid w:val="00047700"/>
    <w:rsid w:val="00131050"/>
    <w:rsid w:val="001B7D3D"/>
    <w:rsid w:val="00202F07"/>
    <w:rsid w:val="00217335"/>
    <w:rsid w:val="00233B77"/>
    <w:rsid w:val="002D0602"/>
    <w:rsid w:val="002E4202"/>
    <w:rsid w:val="002F73B5"/>
    <w:rsid w:val="00346D4B"/>
    <w:rsid w:val="003A6EF4"/>
    <w:rsid w:val="003E14A4"/>
    <w:rsid w:val="003E71B2"/>
    <w:rsid w:val="003F220C"/>
    <w:rsid w:val="0043795E"/>
    <w:rsid w:val="0046476D"/>
    <w:rsid w:val="004B73FC"/>
    <w:rsid w:val="004E460E"/>
    <w:rsid w:val="004E6E70"/>
    <w:rsid w:val="004F275C"/>
    <w:rsid w:val="00535DD8"/>
    <w:rsid w:val="005A27BC"/>
    <w:rsid w:val="005D16AC"/>
    <w:rsid w:val="00632D1D"/>
    <w:rsid w:val="0065566E"/>
    <w:rsid w:val="006604E8"/>
    <w:rsid w:val="00676213"/>
    <w:rsid w:val="007018DC"/>
    <w:rsid w:val="00703D00"/>
    <w:rsid w:val="00774D46"/>
    <w:rsid w:val="00790EB2"/>
    <w:rsid w:val="007E3486"/>
    <w:rsid w:val="007E37B0"/>
    <w:rsid w:val="007F4C91"/>
    <w:rsid w:val="008000D5"/>
    <w:rsid w:val="00833454"/>
    <w:rsid w:val="00991817"/>
    <w:rsid w:val="009949F8"/>
    <w:rsid w:val="009A72E0"/>
    <w:rsid w:val="009B2840"/>
    <w:rsid w:val="009B50CD"/>
    <w:rsid w:val="009D21FA"/>
    <w:rsid w:val="00A20941"/>
    <w:rsid w:val="00A410D0"/>
    <w:rsid w:val="00A57F10"/>
    <w:rsid w:val="00A633FE"/>
    <w:rsid w:val="00A63C43"/>
    <w:rsid w:val="00B23109"/>
    <w:rsid w:val="00B4077F"/>
    <w:rsid w:val="00B4428A"/>
    <w:rsid w:val="00B453CD"/>
    <w:rsid w:val="00B46935"/>
    <w:rsid w:val="00B62B3D"/>
    <w:rsid w:val="00BA7571"/>
    <w:rsid w:val="00BD1759"/>
    <w:rsid w:val="00BF358D"/>
    <w:rsid w:val="00C15996"/>
    <w:rsid w:val="00C200F4"/>
    <w:rsid w:val="00C36D63"/>
    <w:rsid w:val="00C60844"/>
    <w:rsid w:val="00C72EC0"/>
    <w:rsid w:val="00C82838"/>
    <w:rsid w:val="00D41700"/>
    <w:rsid w:val="00D67407"/>
    <w:rsid w:val="00D91C02"/>
    <w:rsid w:val="00DA2E58"/>
    <w:rsid w:val="00E3161F"/>
    <w:rsid w:val="00E51274"/>
    <w:rsid w:val="00E67AE1"/>
    <w:rsid w:val="00E85CAD"/>
    <w:rsid w:val="00EA7EED"/>
    <w:rsid w:val="00F00785"/>
    <w:rsid w:val="00F0477E"/>
    <w:rsid w:val="00F63ABE"/>
    <w:rsid w:val="00FC1A0D"/>
    <w:rsid w:val="00FF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650B8"/>
  <w15:docId w15:val="{0846641A-FCCA-46BA-B9BE-A485233D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New Roman" w:eastAsia="Times New Roman" w:hAnsi="Times New Roman" w:cs=".VnTime"/>
      <w:bCs/>
      <w:iCs/>
      <w:sz w:val="28"/>
      <w:szCs w:val="24"/>
      <w:lang w:eastAsia="zh-CN"/>
    </w:rPr>
  </w:style>
  <w:style w:type="paragraph" w:styleId="Heading1">
    <w:name w:val="heading 1"/>
    <w:basedOn w:val="Normal"/>
    <w:next w:val="Normal"/>
    <w:qFormat/>
    <w:pPr>
      <w:keepNext/>
      <w:numPr>
        <w:numId w:val="1"/>
      </w:numPr>
      <w:jc w:val="center"/>
      <w:outlineLvl w:val="0"/>
    </w:pPr>
    <w:rPr>
      <w:rFonts w:cs="Tahoma"/>
      <w:b/>
      <w:iCs w:val="0"/>
      <w:sz w:val="26"/>
    </w:rPr>
  </w:style>
  <w:style w:type="paragraph" w:styleId="Heading2">
    <w:name w:val="heading 2"/>
    <w:basedOn w:val="Normal"/>
    <w:next w:val="Normal"/>
    <w:qFormat/>
    <w:pPr>
      <w:keepNext/>
      <w:numPr>
        <w:ilvl w:val="1"/>
        <w:numId w:val="1"/>
      </w:numPr>
      <w:jc w:val="right"/>
      <w:outlineLvl w:val="1"/>
    </w:pPr>
    <w:rPr>
      <w:rFonts w:cs="Tahoma"/>
      <w:b/>
      <w:i/>
      <w:sz w:val="26"/>
    </w:rPr>
  </w:style>
  <w:style w:type="paragraph" w:styleId="Heading3">
    <w:name w:val="heading 3"/>
    <w:basedOn w:val="Normal"/>
    <w:next w:val="Normal"/>
    <w:link w:val="Heading3Char"/>
    <w:uiPriority w:val="9"/>
    <w:semiHidden/>
    <w:unhideWhenUsed/>
    <w:qFormat/>
    <w:rsid w:val="003E14A4"/>
    <w:pPr>
      <w:keepNext/>
      <w:keepLines/>
      <w:spacing w:before="40"/>
      <w:outlineLvl w:val="2"/>
    </w:pPr>
    <w:rPr>
      <w:rFonts w:asciiTheme="majorHAnsi" w:eastAsiaTheme="majorEastAsia" w:hAnsiTheme="majorHAnsi" w:cstheme="majorBidi"/>
      <w:color w:val="0B5101" w:themeColor="accent1" w:themeShade="7F"/>
      <w:sz w:val="24"/>
    </w:rPr>
  </w:style>
  <w:style w:type="paragraph" w:styleId="Heading4">
    <w:name w:val="heading 4"/>
    <w:basedOn w:val="Normal"/>
    <w:next w:val="Normal"/>
    <w:qFormat/>
    <w:pPr>
      <w:keepNext/>
      <w:numPr>
        <w:ilvl w:val="3"/>
        <w:numId w:val="1"/>
      </w:numPr>
      <w:spacing w:before="240" w:after="60"/>
      <w:outlineLvl w:val="3"/>
    </w:pPr>
    <w:rPr>
      <w:rFonts w:ascii="Calibri" w:hAnsi="Calibri" w:cs="Calibri"/>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shd w:val="clear" w:color="auto" w:fill="auto"/>
      <w:vertAlign w:val="baseline"/>
      <w:lang w:val="vi-VN" w:bidi="vi-VN"/>
    </w:rPr>
  </w:style>
  <w:style w:type="character" w:customStyle="1" w:styleId="WW8Num2z0">
    <w:name w:val="WW8Num2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auto"/>
      <w:vertAlign w:val="baseline"/>
      <w:lang w:val="vi-VN" w:bidi="vi-VN"/>
    </w:rPr>
  </w:style>
  <w:style w:type="character" w:customStyle="1" w:styleId="WW8Num3z0">
    <w:name w:val="WW8Num3z0"/>
    <w:qFormat/>
    <w:rPr>
      <w:rFonts w:ascii="Symbol" w:eastAsia="Times New Roman" w:hAnsi="Symbol"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auto"/>
      <w:vertAlign w:val="baseline"/>
      <w:lang w:val="en-US" w:bidi="en-US"/>
    </w:rPr>
  </w:style>
  <w:style w:type="character" w:customStyle="1" w:styleId="WW8Num5z0">
    <w:name w:val="WW8Num5z0"/>
    <w:qFormat/>
  </w:style>
  <w:style w:type="character" w:customStyle="1" w:styleId="WW8Num6z0">
    <w:name w:val="WW8Num6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auto"/>
      <w:vertAlign w:val="baseline"/>
      <w:lang w:val="vi-VN" w:bidi="vi-VN"/>
    </w:rPr>
  </w:style>
  <w:style w:type="character" w:customStyle="1" w:styleId="WW8Num7z0">
    <w:name w:val="WW8Num7z0"/>
    <w:qFormat/>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shd w:val="clear" w:color="auto" w:fill="auto"/>
      <w:vertAlign w:val="baseline"/>
      <w:lang w:val="vi-VN" w:bidi="vi-VN"/>
    </w:rPr>
  </w:style>
  <w:style w:type="character" w:customStyle="1" w:styleId="WW8Num8z0">
    <w:name w:val="WW8Num8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auto"/>
      <w:vertAlign w:val="baseline"/>
      <w:lang w:val="vi-VN" w:bidi="vi-VN"/>
    </w:rPr>
  </w:style>
  <w:style w:type="character" w:customStyle="1" w:styleId="WW8Num9z0">
    <w:name w:val="WW8Num9z0"/>
    <w:qFormat/>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auto"/>
      <w:vertAlign w:val="baseline"/>
      <w:lang w:val="en-US" w:bidi="en-US"/>
    </w:rPr>
  </w:style>
  <w:style w:type="character" w:styleId="Strong">
    <w:name w:val="Strong"/>
    <w:uiPriority w:val="22"/>
    <w:qFormat/>
    <w:rPr>
      <w:b/>
      <w:bCs/>
    </w:rPr>
  </w:style>
  <w:style w:type="character" w:styleId="Emphasis">
    <w:name w:val="Emphasis"/>
    <w:qFormat/>
    <w:rPr>
      <w:i/>
      <w:iCs/>
    </w:rPr>
  </w:style>
  <w:style w:type="character" w:customStyle="1" w:styleId="apple-converted-space">
    <w:name w:val="apple-converted-space"/>
    <w:basedOn w:val="DefaultParagraphFont"/>
    <w:qFormat/>
  </w:style>
  <w:style w:type="character" w:styleId="PageNumber">
    <w:name w:val="page number"/>
    <w:basedOn w:val="DefaultParagraphFont"/>
  </w:style>
  <w:style w:type="character" w:styleId="Hyperlink">
    <w:name w:val="Hyperlink"/>
    <w:rPr>
      <w:color w:val="0000FF"/>
      <w:u w:val="single"/>
    </w:rPr>
  </w:style>
  <w:style w:type="character" w:customStyle="1" w:styleId="FooterChar">
    <w:name w:val="Footer Char"/>
    <w:qFormat/>
    <w:rPr>
      <w:rFonts w:ascii=".VnTime" w:hAnsi=".VnTime" w:cs=".VnTime"/>
      <w:bCs/>
      <w:iCs/>
      <w:sz w:val="28"/>
      <w:szCs w:val="24"/>
    </w:rPr>
  </w:style>
  <w:style w:type="character" w:customStyle="1" w:styleId="HeaderChar">
    <w:name w:val="Header Char"/>
    <w:qFormat/>
    <w:rPr>
      <w:rFonts w:ascii=".VnTime" w:hAnsi=".VnTime" w:cs=".VnTime"/>
      <w:bCs/>
      <w:iCs/>
      <w:sz w:val="28"/>
      <w:szCs w:val="24"/>
    </w:rPr>
  </w:style>
  <w:style w:type="character" w:customStyle="1" w:styleId="Heading10">
    <w:name w:val="Heading #1_"/>
    <w:qFormat/>
    <w:rPr>
      <w:b/>
      <w:bCs/>
      <w:sz w:val="32"/>
      <w:szCs w:val="32"/>
      <w:shd w:val="clear" w:color="auto" w:fill="FFFFFF"/>
    </w:rPr>
  </w:style>
  <w:style w:type="character" w:customStyle="1" w:styleId="BodyTextIndent2Char">
    <w:name w:val="Body Text Indent 2 Char"/>
    <w:qFormat/>
    <w:rPr>
      <w:rFonts w:ascii=".VnTime" w:hAnsi=".VnTime" w:cs=".VnTime"/>
      <w:bCs/>
      <w:iCs/>
      <w:sz w:val="28"/>
      <w:szCs w:val="24"/>
    </w:rPr>
  </w:style>
  <w:style w:type="character" w:customStyle="1" w:styleId="Vnbnnidung">
    <w:name w:val="Văn bản nội dung_"/>
    <w:qFormat/>
    <w:rPr>
      <w:sz w:val="28"/>
      <w:szCs w:val="28"/>
    </w:rPr>
  </w:style>
  <w:style w:type="character" w:customStyle="1" w:styleId="Ghichcuitrang">
    <w:name w:val="Ghi chú cuối trang_"/>
    <w:qFormat/>
    <w:rPr>
      <w:sz w:val="22"/>
      <w:szCs w:val="22"/>
    </w:rPr>
  </w:style>
  <w:style w:type="character" w:customStyle="1" w:styleId="fontstyle01">
    <w:name w:val="fontstyle01"/>
    <w:qFormat/>
    <w:rPr>
      <w:rFonts w:ascii="Times New Roman" w:hAnsi="Times New Roman" w:cs="Times New Roman"/>
      <w:b w:val="0"/>
      <w:bCs w:val="0"/>
      <w:i w:val="0"/>
      <w:iCs w:val="0"/>
      <w:color w:val="000000"/>
      <w:sz w:val="28"/>
      <w:szCs w:val="28"/>
    </w:rPr>
  </w:style>
  <w:style w:type="character" w:customStyle="1" w:styleId="FootnoteTextChar">
    <w:name w:val="Footnote Text Char"/>
    <w:qFormat/>
    <w:rPr>
      <w:rFonts w:ascii=".VnTime" w:hAnsi=".VnTime" w:cs=".VnTime"/>
      <w:bCs/>
      <w:iCs/>
    </w:rPr>
  </w:style>
  <w:style w:type="character" w:customStyle="1" w:styleId="FootnoteCharacters">
    <w:name w:val="Footnote Characters"/>
    <w:qFormat/>
    <w:rPr>
      <w:vertAlign w:val="superscript"/>
    </w:rPr>
  </w:style>
  <w:style w:type="character" w:customStyle="1" w:styleId="fontstyle21">
    <w:name w:val="fontstyle21"/>
    <w:qFormat/>
    <w:rPr>
      <w:rFonts w:ascii="Times New Roman" w:hAnsi="Times New Roman" w:cs="Times New Roman"/>
      <w:b w:val="0"/>
      <w:bCs w:val="0"/>
      <w:i w:val="0"/>
      <w:iCs w:val="0"/>
      <w:color w:val="000000"/>
      <w:sz w:val="28"/>
      <w:szCs w:val="28"/>
    </w:rPr>
  </w:style>
  <w:style w:type="character" w:customStyle="1" w:styleId="DoanvanChar">
    <w:name w:val="Doan van Char"/>
    <w:qFormat/>
    <w:rPr>
      <w:rFonts w:eastAsia="SimSun;宋体"/>
      <w:bCs/>
      <w:color w:val="000000"/>
      <w:spacing w:val="-4"/>
      <w:kern w:val="2"/>
      <w:sz w:val="28"/>
      <w:szCs w:val="24"/>
      <w:lang w:val="nl-NL" w:eastAsia="zh-CN"/>
    </w:rPr>
  </w:style>
  <w:style w:type="character" w:customStyle="1" w:styleId="EndnoteTextChar">
    <w:name w:val="Endnote Text Char"/>
    <w:qFormat/>
    <w:rPr>
      <w:rFonts w:ascii="Calibri" w:eastAsia="SimSun;宋体" w:hAnsi="Calibri" w:cs="Calibri"/>
    </w:rPr>
  </w:style>
  <w:style w:type="character" w:customStyle="1" w:styleId="Heading4Char">
    <w:name w:val="Heading 4 Char"/>
    <w:qFormat/>
    <w:rPr>
      <w:rFonts w:ascii="Calibri" w:eastAsia="Times New Roman" w:hAnsi="Calibri" w:cs="Times New Roman"/>
      <w:b/>
      <w:bCs/>
      <w:iCs/>
      <w:sz w:val="28"/>
      <w:szCs w:val="28"/>
    </w:rPr>
  </w:style>
  <w:style w:type="character" w:styleId="CommentReference">
    <w:name w:val="annotation reference"/>
    <w:qFormat/>
    <w:rPr>
      <w:sz w:val="16"/>
      <w:szCs w:val="16"/>
    </w:rPr>
  </w:style>
  <w:style w:type="character" w:customStyle="1" w:styleId="CommentTextChar">
    <w:name w:val="Comment Text Char"/>
    <w:qFormat/>
    <w:rPr>
      <w:rFonts w:ascii=".VnTime" w:hAnsi=".VnTime" w:cs=".VnTime"/>
      <w:bCs/>
      <w:iCs/>
    </w:rPr>
  </w:style>
  <w:style w:type="character" w:customStyle="1" w:styleId="CommentSubjectChar">
    <w:name w:val="Comment Subject Char"/>
    <w:qFormat/>
    <w:rPr>
      <w:rFonts w:ascii=".VnTime" w:hAnsi=".VnTime" w:cs=".VnTime"/>
      <w:b/>
      <w:bCs/>
      <w:iCs/>
    </w:rPr>
  </w:style>
  <w:style w:type="character" w:customStyle="1" w:styleId="DocumentMapChar">
    <w:name w:val="Document Map Char"/>
    <w:qFormat/>
    <w:rPr>
      <w:rFonts w:ascii="Tahoma" w:hAnsi="Tahoma" w:cs="Tahoma"/>
      <w:bCs/>
      <w:iCs/>
      <w:shd w:val="clear" w:color="auto" w:fill="000080"/>
    </w:rPr>
  </w:style>
  <w:style w:type="character" w:customStyle="1" w:styleId="BalloonTextChar">
    <w:name w:val="Balloon Text Char"/>
    <w:qFormat/>
    <w:rPr>
      <w:rFonts w:ascii="Tahoma" w:hAnsi="Tahoma" w:cs="Tahoma"/>
      <w:bCs/>
      <w:iCs/>
      <w:sz w:val="16"/>
      <w:szCs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Cs w:val="28"/>
    </w:rPr>
  </w:style>
  <w:style w:type="paragraph" w:styleId="BodyText">
    <w:name w:val="Body Text"/>
    <w:basedOn w:val="Normal"/>
    <w:pPr>
      <w:spacing w:after="12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sz w:val="24"/>
    </w:rPr>
  </w:style>
  <w:style w:type="paragraph" w:customStyle="1" w:styleId="Index">
    <w:name w:val="Index"/>
    <w:basedOn w:val="Normal"/>
    <w:qFormat/>
    <w:pPr>
      <w:suppressLineNumbers/>
    </w:pPr>
    <w:rPr>
      <w:rFonts w:cs="Lohit Devanagari"/>
    </w:rPr>
  </w:style>
  <w:style w:type="paragraph" w:styleId="BodyTextIndent2">
    <w:name w:val="Body Text Indent 2"/>
    <w:basedOn w:val="Normal"/>
    <w:qFormat/>
    <w:pPr>
      <w:spacing w:after="120" w:line="480" w:lineRule="auto"/>
      <w:ind w:left="283"/>
    </w:pPr>
  </w:style>
  <w:style w:type="paragraph" w:styleId="BodyTextIndent">
    <w:name w:val="Body Text Indent"/>
    <w:basedOn w:val="Normal"/>
    <w:pPr>
      <w:spacing w:after="120"/>
      <w:ind w:left="360"/>
    </w:pPr>
  </w:style>
  <w:style w:type="paragraph" w:customStyle="1" w:styleId="Ilama2">
    <w:name w:val="I lama2"/>
    <w:basedOn w:val="Normal"/>
    <w:qFormat/>
    <w:pPr>
      <w:widowControl w:val="0"/>
      <w:spacing w:before="240" w:after="120" w:line="360" w:lineRule="exact"/>
      <w:ind w:firstLine="425"/>
      <w:jc w:val="both"/>
    </w:pPr>
    <w:rPr>
      <w:rFonts w:ascii=".VnCentury SchoolbookH" w:hAnsi=".VnCentury SchoolbookH" w:cs=".VnCentury SchoolbookH"/>
      <w:bCs w:val="0"/>
      <w:iCs w:val="0"/>
      <w:spacing w:val="3"/>
      <w:sz w:val="23"/>
    </w:rPr>
  </w:style>
  <w:style w:type="paragraph" w:styleId="BalloonText">
    <w:name w:val="Balloon Text"/>
    <w:basedOn w:val="Normal"/>
    <w:qFormat/>
    <w:rPr>
      <w:rFonts w:ascii="Tahoma" w:hAnsi="Tahoma" w:cs="Tahoma"/>
      <w:sz w:val="16"/>
      <w:szCs w:val="16"/>
    </w:rPr>
  </w:style>
  <w:style w:type="paragraph" w:styleId="NormalWeb">
    <w:name w:val="Normal (Web)"/>
    <w:basedOn w:val="Normal"/>
    <w:uiPriority w:val="99"/>
    <w:qFormat/>
    <w:pPr>
      <w:spacing w:before="240" w:after="240"/>
    </w:pPr>
    <w:rPr>
      <w:rFonts w:cs="Times New Roman"/>
      <w:bCs w:val="0"/>
      <w:iCs w:val="0"/>
      <w:sz w:val="24"/>
    </w:rPr>
  </w:style>
  <w:style w:type="paragraph" w:styleId="DocumentMap">
    <w:name w:val="Document Map"/>
    <w:basedOn w:val="Normal"/>
    <w:qFormat/>
    <w:pPr>
      <w:shd w:val="clear" w:color="auto" w:fill="000080"/>
    </w:pPr>
    <w:rPr>
      <w:rFonts w:ascii="Tahoma" w:hAnsi="Tahoma" w:cs="Tahoma"/>
      <w:sz w:val="20"/>
      <w:szCs w:val="20"/>
    </w:rPr>
  </w:style>
  <w:style w:type="paragraph" w:customStyle="1" w:styleId="1Char">
    <w:name w:val="1 Char"/>
    <w:basedOn w:val="DocumentMap"/>
    <w:qFormat/>
    <w:pPr>
      <w:widowControl w:val="0"/>
      <w:jc w:val="both"/>
    </w:pPr>
    <w:rPr>
      <w:rFonts w:eastAsia="SimSun;宋体" w:cs="Times New Roman"/>
      <w:bCs w:val="0"/>
      <w:iCs w:val="0"/>
      <w:kern w:val="2"/>
      <w:sz w:val="24"/>
      <w:szCs w:val="24"/>
    </w:rPr>
  </w:style>
  <w:style w:type="paragraph" w:styleId="BodyTextIndent3">
    <w:name w:val="Body Text Indent 3"/>
    <w:basedOn w:val="Normal"/>
    <w:qFormat/>
    <w:pPr>
      <w:spacing w:after="120"/>
      <w:ind w:left="360"/>
    </w:pPr>
    <w:rPr>
      <w:sz w:val="16"/>
      <w:szCs w:val="16"/>
    </w:rPr>
  </w:style>
  <w:style w:type="paragraph" w:styleId="NormalIndent">
    <w:name w:val="Normal Indent"/>
    <w:basedOn w:val="Normal"/>
    <w:qFormat/>
    <w:pPr>
      <w:spacing w:before="280" w:after="280"/>
    </w:pPr>
    <w:rPr>
      <w:rFonts w:cs="Times New Roman"/>
      <w:bCs w:val="0"/>
      <w:iCs w:val="0"/>
      <w:sz w:val="24"/>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style>
  <w:style w:type="paragraph" w:styleId="Header">
    <w:name w:val="header"/>
    <w:basedOn w:val="Normal"/>
  </w:style>
  <w:style w:type="paragraph" w:customStyle="1" w:styleId="CharCharCharCharCharCharChar">
    <w:name w:val="Char Char Char Char Char Char Char"/>
    <w:basedOn w:val="Normal"/>
    <w:qFormat/>
    <w:pPr>
      <w:spacing w:after="160" w:line="240" w:lineRule="exact"/>
    </w:pPr>
    <w:rPr>
      <w:rFonts w:ascii="Verdana" w:hAnsi="Verdana" w:cs="Verdana"/>
      <w:bCs w:val="0"/>
      <w:iCs w:val="0"/>
      <w:sz w:val="20"/>
      <w:szCs w:val="20"/>
    </w:rPr>
  </w:style>
  <w:style w:type="paragraph" w:customStyle="1" w:styleId="Heading11">
    <w:name w:val="Heading #1"/>
    <w:basedOn w:val="Normal"/>
    <w:qFormat/>
    <w:pPr>
      <w:widowControl w:val="0"/>
      <w:shd w:val="clear" w:color="auto" w:fill="FFFFFF"/>
      <w:spacing w:after="80" w:line="209" w:lineRule="auto"/>
      <w:jc w:val="center"/>
      <w:outlineLvl w:val="0"/>
    </w:pPr>
    <w:rPr>
      <w:rFonts w:cs="Times New Roman"/>
      <w:b/>
      <w:iCs w:val="0"/>
      <w:sz w:val="32"/>
      <w:szCs w:val="32"/>
    </w:rPr>
  </w:style>
  <w:style w:type="paragraph" w:styleId="ListParagraph">
    <w:name w:val="List Paragraph"/>
    <w:basedOn w:val="Normal"/>
    <w:qFormat/>
    <w:pPr>
      <w:ind w:left="720"/>
      <w:contextualSpacing/>
    </w:pPr>
    <w:rPr>
      <w:bCs w:val="0"/>
      <w:iCs w:val="0"/>
      <w:szCs w:val="28"/>
    </w:rPr>
  </w:style>
  <w:style w:type="paragraph" w:customStyle="1" w:styleId="Vnbnnidung0">
    <w:name w:val="Văn bản nội dung"/>
    <w:basedOn w:val="Normal"/>
    <w:qFormat/>
    <w:pPr>
      <w:widowControl w:val="0"/>
      <w:spacing w:after="60" w:line="276" w:lineRule="auto"/>
      <w:ind w:firstLine="400"/>
    </w:pPr>
    <w:rPr>
      <w:rFonts w:cs="Times New Roman"/>
      <w:bCs w:val="0"/>
      <w:iCs w:val="0"/>
      <w:szCs w:val="28"/>
    </w:rPr>
  </w:style>
  <w:style w:type="paragraph" w:customStyle="1" w:styleId="Ghichcuitrang0">
    <w:name w:val="Ghi chú cuối trang"/>
    <w:basedOn w:val="Normal"/>
    <w:qFormat/>
    <w:pPr>
      <w:widowControl w:val="0"/>
    </w:pPr>
    <w:rPr>
      <w:rFonts w:cs="Times New Roman"/>
      <w:bCs w:val="0"/>
      <w:iCs w:val="0"/>
      <w:sz w:val="22"/>
      <w:szCs w:val="22"/>
    </w:rPr>
  </w:style>
  <w:style w:type="paragraph" w:styleId="FootnoteText">
    <w:name w:val="footnote text"/>
    <w:basedOn w:val="Normal"/>
    <w:rPr>
      <w:sz w:val="20"/>
      <w:szCs w:val="20"/>
    </w:rPr>
  </w:style>
  <w:style w:type="paragraph" w:customStyle="1" w:styleId="Doanvan">
    <w:name w:val="Doan van"/>
    <w:basedOn w:val="Normal"/>
    <w:qFormat/>
    <w:pPr>
      <w:spacing w:before="120" w:after="120" w:line="288" w:lineRule="auto"/>
      <w:ind w:firstLine="706"/>
      <w:contextualSpacing/>
      <w:jc w:val="both"/>
    </w:pPr>
    <w:rPr>
      <w:rFonts w:eastAsia="SimSun;宋体" w:cs="Times New Roman"/>
      <w:iCs w:val="0"/>
      <w:color w:val="000000"/>
      <w:spacing w:val="-4"/>
      <w:kern w:val="2"/>
      <w:lang w:val="nl-NL"/>
    </w:rPr>
  </w:style>
  <w:style w:type="paragraph" w:styleId="EndnoteText">
    <w:name w:val="endnote text"/>
    <w:basedOn w:val="Normal"/>
    <w:rPr>
      <w:rFonts w:ascii="Calibri" w:eastAsia="SimSun;宋体" w:hAnsi="Calibri" w:cs="Calibri"/>
      <w:bCs w:val="0"/>
      <w:iCs w:val="0"/>
      <w:sz w:val="20"/>
      <w:szCs w:val="20"/>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rPr>
  </w:style>
  <w:style w:type="paragraph" w:customStyle="1" w:styleId="RefChar">
    <w:name w:val="Ref Char"/>
    <w:basedOn w:val="Normal"/>
    <w:qFormat/>
    <w:pPr>
      <w:spacing w:after="160" w:line="240" w:lineRule="exact"/>
    </w:pPr>
    <w:rPr>
      <w:rFonts w:cs="Times New Roman"/>
      <w:bCs w:val="0"/>
      <w:iCs w:val="0"/>
      <w:sz w:val="20"/>
      <w:szCs w:val="20"/>
      <w:vertAlign w:val="superscript"/>
    </w:rPr>
  </w:style>
  <w:style w:type="paragraph" w:customStyle="1" w:styleId="CharChar1CharCharCharChar1CharCharCharCharCharCharCharChar">
    <w:name w:val="Char Char1 Char Char Char Char1 Char Char Char Char Char Char Char Char"/>
    <w:basedOn w:val="Normal"/>
    <w:next w:val="Normal"/>
    <w:qFormat/>
    <w:pPr>
      <w:spacing w:after="160" w:line="240" w:lineRule="exact"/>
    </w:pPr>
    <w:rPr>
      <w:rFonts w:ascii="Calibri" w:eastAsia="Calibri" w:hAnsi="Calibri" w:cs="Calibri"/>
      <w:bCs w:val="0"/>
      <w:iCs w:val="0"/>
      <w:sz w:val="20"/>
      <w:szCs w:val="20"/>
      <w:vertAlign w:val="superscript"/>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paragraph" w:customStyle="1" w:styleId="pdq2pgselectionanchorcontainer">
    <w:name w:val="pdq2pg_selectionanchorcontainer"/>
    <w:basedOn w:val="Normal"/>
    <w:rsid w:val="0043795E"/>
    <w:pPr>
      <w:suppressAutoHyphens w:val="0"/>
      <w:spacing w:before="100" w:beforeAutospacing="1" w:after="100" w:afterAutospacing="1"/>
    </w:pPr>
    <w:rPr>
      <w:rFonts w:cs="Times New Roman"/>
      <w:bCs w:val="0"/>
      <w:iCs w:val="0"/>
      <w:sz w:val="24"/>
      <w:lang w:eastAsia="en-US"/>
    </w:rPr>
  </w:style>
  <w:style w:type="character" w:customStyle="1" w:styleId="Heading3Char">
    <w:name w:val="Heading 3 Char"/>
    <w:basedOn w:val="DefaultParagraphFont"/>
    <w:link w:val="Heading3"/>
    <w:uiPriority w:val="9"/>
    <w:semiHidden/>
    <w:rsid w:val="003E14A4"/>
    <w:rPr>
      <w:rFonts w:asciiTheme="majorHAnsi" w:eastAsiaTheme="majorEastAsia" w:hAnsiTheme="majorHAnsi" w:cstheme="majorBidi"/>
      <w:bCs/>
      <w:iCs/>
      <w:color w:val="0B5101"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8277">
      <w:bodyDiv w:val="1"/>
      <w:marLeft w:val="0"/>
      <w:marRight w:val="0"/>
      <w:marTop w:val="0"/>
      <w:marBottom w:val="0"/>
      <w:divBdr>
        <w:top w:val="none" w:sz="0" w:space="0" w:color="auto"/>
        <w:left w:val="none" w:sz="0" w:space="0" w:color="auto"/>
        <w:bottom w:val="none" w:sz="0" w:space="0" w:color="auto"/>
        <w:right w:val="none" w:sz="0" w:space="0" w:color="auto"/>
      </w:divBdr>
    </w:div>
    <w:div w:id="134613447">
      <w:bodyDiv w:val="1"/>
      <w:marLeft w:val="0"/>
      <w:marRight w:val="0"/>
      <w:marTop w:val="0"/>
      <w:marBottom w:val="0"/>
      <w:divBdr>
        <w:top w:val="none" w:sz="0" w:space="0" w:color="auto"/>
        <w:left w:val="none" w:sz="0" w:space="0" w:color="auto"/>
        <w:bottom w:val="none" w:sz="0" w:space="0" w:color="auto"/>
        <w:right w:val="none" w:sz="0" w:space="0" w:color="auto"/>
      </w:divBdr>
    </w:div>
    <w:div w:id="611858757">
      <w:bodyDiv w:val="1"/>
      <w:marLeft w:val="0"/>
      <w:marRight w:val="0"/>
      <w:marTop w:val="0"/>
      <w:marBottom w:val="0"/>
      <w:divBdr>
        <w:top w:val="none" w:sz="0" w:space="0" w:color="auto"/>
        <w:left w:val="none" w:sz="0" w:space="0" w:color="auto"/>
        <w:bottom w:val="none" w:sz="0" w:space="0" w:color="auto"/>
        <w:right w:val="none" w:sz="0" w:space="0" w:color="auto"/>
      </w:divBdr>
    </w:div>
    <w:div w:id="715471136">
      <w:bodyDiv w:val="1"/>
      <w:marLeft w:val="0"/>
      <w:marRight w:val="0"/>
      <w:marTop w:val="0"/>
      <w:marBottom w:val="0"/>
      <w:divBdr>
        <w:top w:val="none" w:sz="0" w:space="0" w:color="auto"/>
        <w:left w:val="none" w:sz="0" w:space="0" w:color="auto"/>
        <w:bottom w:val="none" w:sz="0" w:space="0" w:color="auto"/>
        <w:right w:val="none" w:sz="0" w:space="0" w:color="auto"/>
      </w:divBdr>
    </w:div>
    <w:div w:id="856507025">
      <w:bodyDiv w:val="1"/>
      <w:marLeft w:val="0"/>
      <w:marRight w:val="0"/>
      <w:marTop w:val="0"/>
      <w:marBottom w:val="0"/>
      <w:divBdr>
        <w:top w:val="none" w:sz="0" w:space="0" w:color="auto"/>
        <w:left w:val="none" w:sz="0" w:space="0" w:color="auto"/>
        <w:bottom w:val="none" w:sz="0" w:space="0" w:color="auto"/>
        <w:right w:val="none" w:sz="0" w:space="0" w:color="auto"/>
      </w:divBdr>
    </w:div>
    <w:div w:id="1009525851">
      <w:bodyDiv w:val="1"/>
      <w:marLeft w:val="0"/>
      <w:marRight w:val="0"/>
      <w:marTop w:val="0"/>
      <w:marBottom w:val="0"/>
      <w:divBdr>
        <w:top w:val="none" w:sz="0" w:space="0" w:color="auto"/>
        <w:left w:val="none" w:sz="0" w:space="0" w:color="auto"/>
        <w:bottom w:val="none" w:sz="0" w:space="0" w:color="auto"/>
        <w:right w:val="none" w:sz="0" w:space="0" w:color="auto"/>
      </w:divBdr>
    </w:div>
    <w:div w:id="1182743744">
      <w:bodyDiv w:val="1"/>
      <w:marLeft w:val="0"/>
      <w:marRight w:val="0"/>
      <w:marTop w:val="0"/>
      <w:marBottom w:val="0"/>
      <w:divBdr>
        <w:top w:val="none" w:sz="0" w:space="0" w:color="auto"/>
        <w:left w:val="none" w:sz="0" w:space="0" w:color="auto"/>
        <w:bottom w:val="none" w:sz="0" w:space="0" w:color="auto"/>
        <w:right w:val="none" w:sz="0" w:space="0" w:color="auto"/>
      </w:divBdr>
    </w:div>
    <w:div w:id="1415401036">
      <w:bodyDiv w:val="1"/>
      <w:marLeft w:val="0"/>
      <w:marRight w:val="0"/>
      <w:marTop w:val="0"/>
      <w:marBottom w:val="0"/>
      <w:divBdr>
        <w:top w:val="none" w:sz="0" w:space="0" w:color="auto"/>
        <w:left w:val="none" w:sz="0" w:space="0" w:color="auto"/>
        <w:bottom w:val="none" w:sz="0" w:space="0" w:color="auto"/>
        <w:right w:val="none" w:sz="0" w:space="0" w:color="auto"/>
      </w:divBdr>
    </w:div>
    <w:div w:id="1653758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Sở Xây dựng</vt:lpstr>
    </vt:vector>
  </TitlesOfParts>
  <Company>home</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Xây dựng</dc:title>
  <dc:subject/>
  <dc:creator>Tuấn Anh</dc:creator>
  <cp:keywords/>
  <dc:description/>
  <cp:lastModifiedBy>ADMIN</cp:lastModifiedBy>
  <cp:revision>9</cp:revision>
  <cp:lastPrinted>2026-01-10T17:02:00Z</cp:lastPrinted>
  <dcterms:created xsi:type="dcterms:W3CDTF">2026-07-14T10:33:00Z</dcterms:created>
  <dcterms:modified xsi:type="dcterms:W3CDTF">2026-07-14T14:36:00Z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gayBatDau">
    <vt:lpwstr/>
  </property>
  <property fmtid="{D5CDD505-2E9C-101B-9397-08002B2CF9AE}" pid="3" name="NgayKetThuc">
    <vt:lpwstr/>
  </property>
  <property fmtid="{D5CDD505-2E9C-101B-9397-08002B2CF9AE}" pid="4" name="NoiDung">
    <vt:lpwstr/>
  </property>
  <property fmtid="{D5CDD505-2E9C-101B-9397-08002B2CF9AE}" pid="5" name="TenVanBan">
    <vt:lpwstr/>
  </property>
</Properties>
</file>